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Детская онкология-гематология</w:t>
            </w:r>
          </w:p>
          <w:p>
            <w:pPr>
              <w:spacing w:after="0"/>
            </w:pPr>
            <w:r>
              <w:rPr>
                <w:rFonts w:ascii="Arial" w:hAnsi="Arial"/>
                <w:b/>
                <w:color w:val="F7F2E9"/>
                <w:sz w:val="14"/>
              </w:rPr>
              <w:t>Высшее образование   ·   DOCX · PDF   ·   Задач: 2   ·   Вопросов: 24</w:t>
            </w:r>
          </w:p>
        </w:tc>
      </w:tr>
    </w:tbl>
    <w:p>
      <w:pPr>
        <w:spacing w:before="40" w:after="80"/>
        <w:jc w:val="right"/>
      </w:pPr>
      <w:r>
        <w:rPr>
          <w:rFonts w:ascii="Arial" w:hAnsi="Arial"/>
          <w:b w:val="0"/>
          <w:color w:val="5B7180"/>
          <w:sz w:val="13"/>
        </w:rPr>
        <w:t>Сформировано: 29.08.2026, 02:54 МСК · База обновлена: 27.08.2026, 21:20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spacing w:after="160"/>
      </w:pPr>
      <w:r>
        <w:t>Содержание</w:t>
      </w:r>
    </w:p>
    <w:p>
      <w:pPr>
        <w:spacing w:after="80"/>
      </w:pPr>
      <w:hyperlink w:anchor="case_0001" w:history="1">
        <w:r>
          <w:rPr>
            <w:color w:val="164A57"/>
            <w:u w:val="single"/>
          </w:rPr>
          <w:t>Ситуационная задача 0001</w:t>
        </w:r>
      </w:hyperlink>
    </w:p>
    <w:p>
      <w:pPr>
        <w:spacing w:after="80"/>
      </w:pPr>
      <w:hyperlink w:anchor="case_0002" w:history="1">
        <w:r>
          <w:rPr>
            <w:color w:val="164A57"/>
            <w:u w:val="single"/>
          </w:rPr>
          <w:t>Ситуационная задача 0002</w:t>
        </w:r>
      </w:hyperlink>
    </w:p>
    <w:p>
      <w:r>
        <w:br w:type="page"/>
      </w:r>
    </w:p>
    <w:p>
      <w:pPr>
        <w:pStyle w:val="Heading1"/>
      </w:pPr>
      <w:bookmarkStart w:id="4" w:name="case_0001"/>
      <w:r>
        <w:t>Ситуационная задача 0001</w:t>
      </w:r>
      <w:bookmarkEnd w:id="4"/>
    </w:p>
    <w:p>
      <w:r>
        <w:rPr>
          <w:b/>
        </w:rPr>
        <w:t xml:space="preserve">Образование: </w:t>
      </w:r>
      <w:r>
        <w:t>Высшее образование</w:t>
      </w:r>
      <w:r>
        <w:rPr>
          <w:b/>
        </w:rPr>
        <w:t xml:space="preserve"> | Специальность: </w:t>
      </w:r>
      <w:r>
        <w:t>Детская онкология-гематология</w:t>
      </w:r>
    </w:p>
    <w:p>
      <w:pPr>
        <w:pStyle w:val="Heading2"/>
      </w:pPr>
      <w:r>
        <w:t>1. УСЛОВИЕ СИТУАЦИОННОЙ ЗАДАЧИ</w:t>
      </w:r>
    </w:p>
    <w:p>
      <w:pPr>
        <w:pStyle w:val="Heading3"/>
      </w:pPr>
      <w:r>
        <w:t>1.1. Ситуация</w:t>
      </w:r>
    </w:p>
    <w:p>
      <w:pPr>
        <w:spacing w:after="58"/>
      </w:pPr>
      <w:r>
        <w:rPr>
          <w:b w:val="0"/>
          <w:i w:val="0"/>
        </w:rPr>
        <w:t>Мальчик, возраст – 2 месяца, поступил в гематологическое отделение.</w:t>
      </w:r>
    </w:p>
    <w:p>
      <w:pPr>
        <w:pStyle w:val="Heading3"/>
      </w:pPr>
      <w:r>
        <w:t>1.2. Жалобы</w:t>
      </w:r>
    </w:p>
    <w:p>
      <w:pPr>
        <w:spacing w:after="58"/>
      </w:pPr>
      <w:r>
        <w:rPr>
          <w:b w:val="0"/>
          <w:i w:val="0"/>
        </w:rPr>
        <w:t>на</w:t>
      </w:r>
    </w:p>
    <w:p>
      <w:pPr>
        <w:spacing w:after="58"/>
      </w:pPr>
      <w:r>
        <w:rPr>
          <w:b w:val="0"/>
          <w:i w:val="0"/>
        </w:rPr>
        <w:t>* кишечные колики,</w:t>
      </w:r>
    </w:p>
    <w:p>
      <w:pPr>
        <w:spacing w:after="58"/>
      </w:pPr>
      <w:r>
        <w:rPr>
          <w:b w:val="0"/>
          <w:i w:val="0"/>
        </w:rPr>
        <w:t>* увеличение шейных лимфоузлов.</w:t>
      </w:r>
    </w:p>
    <w:p>
      <w:pPr>
        <w:pStyle w:val="Heading3"/>
      </w:pPr>
      <w:r>
        <w:t>1.3. Анамнез заболевания</w:t>
      </w:r>
    </w:p>
    <w:p>
      <w:pPr>
        <w:spacing w:after="58"/>
      </w:pPr>
      <w:r>
        <w:rPr>
          <w:b w:val="0"/>
          <w:i w:val="0"/>
        </w:rPr>
        <w:t>Неделю назад заметили увеличение шейных лимфоузлов. По месту жительства в гемограмме выявлен лейкоцитоз до 200 тыс/мкл, бластные клетки.</w:t>
      </w:r>
    </w:p>
    <w:p>
      <w:pPr>
        <w:pStyle w:val="Heading3"/>
      </w:pPr>
      <w:r>
        <w:t>1.4. Анамнез жизни</w:t>
      </w:r>
    </w:p>
    <w:p>
      <w:pPr>
        <w:spacing w:after="58"/>
      </w:pPr>
      <w:r>
        <w:rPr>
          <w:b w:val="0"/>
          <w:i w:val="0"/>
        </w:rPr>
        <w:t>* Ребенок от 1 беременности, 1 родов. Течение беременности на фоне сахарного диабета 1 типа. Роды естественные, срочные. Вес при рождении ‒ 3890 г. Рост ‒ 56 см. БЦЖ и гепатит В ‒ вакцинирован в род.доме. Естественное вскармливание до настоящего момента.</w:t>
      </w:r>
    </w:p>
    <w:p>
      <w:pPr>
        <w:spacing w:after="58"/>
      </w:pPr>
      <w:r>
        <w:rPr>
          <w:b w:val="0"/>
          <w:i w:val="0"/>
        </w:rPr>
        <w:t>* Перенесенные инфекции: отсутствуют.</w:t>
      </w:r>
    </w:p>
    <w:p>
      <w:pPr>
        <w:pStyle w:val="Heading3"/>
      </w:pPr>
      <w:r>
        <w:t>1.5. Объективный статус</w:t>
      </w:r>
    </w:p>
    <w:p>
      <w:pPr>
        <w:spacing w:after="58"/>
      </w:pPr>
      <w:r>
        <w:rPr>
          <w:b w:val="0"/>
          <w:i w:val="0"/>
        </w:rPr>
        <w:t>Рост – 59 см, вес – 5,61 кг. ЧСС – 124/мин, ЧД – 31/мин, SpO</w:t>
      </w:r>
      <w:r>
        <w:rPr>
          <w:b w:val="0"/>
          <w:i w:val="0"/>
          <w:vertAlign w:val="subscript"/>
        </w:rPr>
        <w:t>2</w:t>
      </w:r>
      <w:r>
        <w:rPr>
          <w:b w:val="0"/>
          <w:i w:val="0"/>
        </w:rPr>
        <w:t xml:space="preserve"> – 99%, АД – 101/45, t – 36,3ºС.</w:t>
      </w:r>
    </w:p>
    <w:p>
      <w:pPr>
        <w:spacing w:after="58"/>
      </w:pPr>
      <w:r>
        <w:rPr>
          <w:b w:val="0"/>
          <w:i w:val="0"/>
        </w:rPr>
        <w:t>Состояние тяжелое по заболеванию. Афебрилен. Самочувствие существенно не нарушено. Положение естественное. Телосложение нормостеническое. Кожные покровы бледные, чистые от сыпи, геморрагического синдрома нет. Слизистые оболочки розовые, чистые. Костно-мышечная система без видимых пороков и деформаций. Большой родничок выполнен, не напряжен. Пальпируются шейные л/у 15мм в диаметре, плотные, б/б. Тоны сердца ясные, ритмичные, небольшая тахикардия, гемодинамика удовлетворительная. Носовое дыхание свободное. Аускультативно в легких дыхание пуэрильное, равномерно проводится во все отделы. Хрипов и одышки нет. Аппетит снижен, сосет вяло, мало, не срыгивает. Живот обычной формы и размеров, при пальпации мягкий, б/б. Селезёнка +3 см, печень +2 см. Мочеиспускание не нарушено, диурез недостаточный.</w:t>
      </w:r>
    </w:p>
    <w:p>
      <w:pPr>
        <w:pStyle w:val="Heading2"/>
      </w:pPr>
      <w:r>
        <w:t>1. План обследования</w:t>
      </w:r>
    </w:p>
    <w:p>
      <w:pPr>
        <w:pStyle w:val="Heading3"/>
        <w:keepNext/>
      </w:pPr>
      <w:r>
        <w:rPr>
          <w:b/>
          <w:color w:val="173C49"/>
        </w:rPr>
        <w:t>Вопрос 1.</w:t>
      </w:r>
    </w:p>
    <w:p>
      <w:pPr>
        <w:keepNext/>
      </w:pPr>
      <w:r>
        <w:rPr>
          <w:b w:val="0"/>
          <w:i w:val="0"/>
        </w:rPr>
        <w:t>С диагностической целью необходимо назначить</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общий анализ крови с лейкоцитарной формулой</w:t>
      </w:r>
    </w:p>
    <w:p>
      <w:pPr>
        <w:tabs>
          <w:tab w:pos="490" w:val="left"/>
        </w:tabs>
        <w:spacing w:after="60"/>
        <w:ind w:left="490" w:hanging="490"/>
      </w:pPr>
      <w:r>
        <w:rPr>
          <w:b/>
        </w:rPr>
        <w:t>2.</w:t>
      </w:r>
      <w:r>
        <w:tab/>
      </w:r>
      <w:r>
        <w:rPr>
          <w:b w:val="0"/>
          <w:i w:val="0"/>
        </w:rPr>
        <w:t>электрокардиографию</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0"/>
                    <a:stretch>
                      <a:fillRect/>
                    </a:stretch>
                  </pic:blipFill>
                  <pic:spPr>
                    <a:xfrm>
                      <a:off x="0" y="0"/>
                      <a:ext cx="214884" cy="214884"/>
                    </a:xfrm>
                    <a:prstGeom prst="rect"/>
                  </pic:spPr>
                </pic:pic>
              </a:graphicData>
            </a:graphic>
          </wp:inline>
        </w:drawing>
      </w:r>
      <w:r>
        <w:tab/>
      </w:r>
      <w:r>
        <w:rPr>
          <w:b w:val="0"/>
          <w:i w:val="0"/>
        </w:rPr>
        <w:t>иммунофенотипирование клеток костного мозга</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1"/>
                    <a:stretch>
                      <a:fillRect/>
                    </a:stretch>
                  </pic:blipFill>
                  <pic:spPr>
                    <a:xfrm>
                      <a:off x="0" y="0"/>
                      <a:ext cx="214884" cy="214884"/>
                    </a:xfrm>
                    <a:prstGeom prst="rect"/>
                  </pic:spPr>
                </pic:pic>
              </a:graphicData>
            </a:graphic>
          </wp:inline>
        </w:drawing>
      </w:r>
      <w:r>
        <w:tab/>
      </w:r>
      <w:r>
        <w:rPr>
          <w:b w:val="0"/>
          <w:i w:val="0"/>
        </w:rPr>
        <w:t>цитологическое и цитохимическое исследование мазков костного мозга</w:t>
      </w:r>
    </w:p>
    <w:p>
      <w:pPr>
        <w:tabs>
          <w:tab w:pos="490" w:val="left"/>
        </w:tabs>
        <w:spacing w:after="60"/>
        <w:ind w:left="490" w:hanging="490"/>
      </w:pPr>
      <w:r>
        <w:rPr>
          <w:b/>
        </w:rPr>
        <w:t>5.</w:t>
      </w:r>
      <w:r>
        <w:tab/>
      </w:r>
      <w:r>
        <w:rPr>
          <w:b w:val="0"/>
          <w:i w:val="0"/>
        </w:rPr>
        <w:t>биопсию лимфоузла</w:t>
      </w:r>
    </w:p>
    <w:p>
      <w:pPr>
        <w:tabs>
          <w:tab w:pos="490" w:val="left"/>
        </w:tabs>
        <w:spacing w:after="60"/>
        <w:ind w:left="490" w:hanging="490"/>
      </w:pPr>
      <w:r>
        <w:rPr>
          <w:b/>
        </w:rPr>
        <w:t>6.</w:t>
      </w:r>
      <w:r>
        <w:tab/>
      </w:r>
      <w:r>
        <w:rPr>
          <w:b w:val="0"/>
          <w:i w:val="0"/>
        </w:rPr>
        <w:t>нейросонографию с оценкой мозгового кровотока</w:t>
      </w:r>
    </w:p>
    <w:p>
      <w:pPr>
        <w:ind w:left="288"/>
      </w:pPr>
      <w:r>
        <w:rPr>
          <w:b/>
          <w:color w:val="173C49"/>
        </w:rPr>
        <w:t>Правильные ответы:</w:t>
      </w:r>
      <w:r>
        <w:br/>
      </w:r>
      <w:r>
        <w:rPr>
          <w:b/>
          <w:i w:val="0"/>
        </w:rPr>
        <w:t>1 - общий анализ крови с лейкоцитарной формулой</w:t>
      </w:r>
      <w:r>
        <w:br/>
      </w:r>
      <w:r>
        <w:rPr>
          <w:b/>
          <w:i w:val="0"/>
        </w:rPr>
        <w:t>3 - иммунофенотипирование клеток костного мозга</w:t>
      </w:r>
      <w:r>
        <w:br/>
      </w:r>
      <w:r>
        <w:rPr>
          <w:b/>
          <w:i w:val="0"/>
        </w:rPr>
        <w:t>4 - цитологическое и цитохимическое исследование мазков костного мозга</w:t>
      </w:r>
    </w:p>
    <w:p>
      <w:pPr>
        <w:spacing w:after="58"/>
      </w:pPr>
      <w:r>
        <w:rPr>
          <w:b w:val="0"/>
          <w:i w:val="0"/>
        </w:rPr>
        <w:t>Общий клинический (развернутый) анализ крови с обязательным цитологическим исследованием мазков рекомендуется у всех пациентов при подозрении на острый лейкоз. ОАК на первых этапах диагностики нужен для определения направлений диагностического поиска. Кроме того, данные ОАК позволяют судить о выраженности тромбоцитопении и анемии и необходимости проведения заместительной терапии компонентами крови. Общее количество лейкоцитов и наличие бластных клеток в периферической крови необходимо для последующего стадирования, определения группы риска и назначения адекватной терапии.</w:t>
      </w:r>
    </w:p>
    <w:p>
      <w:pPr>
        <w:spacing w:after="58"/>
      </w:pPr>
      <w:hyperlink r:id="rId22">
        <w:r>
          <w:rPr>
            <w:color w:val="173C49"/>
            <w:u w:val="single"/>
          </w:rPr>
          <w:t xml:space="preserve">Клинические рекомендации Минздрава России. Острый лимфобластный лейкоз, 2024 г.</w:t>
        </w:r>
      </w:hyperlink>
    </w:p>
    <w:p>
      <w:pPr>
        <w:spacing w:after="58"/>
      </w:pPr>
      <w:hyperlink r:id="rId23">
        <w:r>
          <w:rPr>
            <w:color w:val="173C49"/>
            <w:u w:val="single"/>
          </w:rPr>
          <w:t xml:space="preserve">(1)</w:t>
        </w:r>
      </w:hyperlink>
    </w:p>
    <w:p>
      <w:pPr>
        <w:spacing w:after="58"/>
      </w:pPr>
      <w:r>
        <w:rPr>
          <w:b w:val="0"/>
          <w:i w:val="0"/>
        </w:rPr>
        <w:t>При подозрении на острый лейкоз верификация диагноза проводится с помощью цитологического и цитохимического исследования мазков костного мозга, многоцветной проточной цитометрии клеток костного мозга, цитогенетического и молекулярно-генетического анализа опухолевых клеток.</w:t>
      </w:r>
    </w:p>
    <w:p>
      <w:pPr>
        <w:spacing w:after="58"/>
      </w:pPr>
      <w:r>
        <w:rPr>
          <w:b w:val="0"/>
          <w:i w:val="0"/>
        </w:rPr>
        <w:t>Мультипараметрическая проточная цитометрия, проводимая, с целью точного определения иммунофенотипа лейкемического клона позволяет провести дифференциальную диагностику с ОМЛ и MPAL, является очень важным и обязательным методом для диагностики различных вариантов ОЛЛ, для стратификации на группы риска и для последующего определения минимальной остаточной болезни (МОБ).</w:t>
      </w:r>
    </w:p>
    <w:p>
      <w:pPr>
        <w:spacing w:after="58"/>
      </w:pPr>
      <w:hyperlink r:id="rId22">
        <w:r>
          <w:rPr>
            <w:color w:val="173C49"/>
            <w:u w:val="single"/>
          </w:rPr>
          <w:t xml:space="preserve">Клинические рекомендации Минздрава России. Острый лимфобластный лейкоз, 2024 г.</w:t>
        </w:r>
      </w:hyperlink>
    </w:p>
    <w:p>
      <w:pPr>
        <w:spacing w:after="58"/>
      </w:pPr>
      <w:hyperlink r:id="rId24">
        <w:r>
          <w:rPr>
            <w:color w:val="173C49"/>
            <w:u w:val="single"/>
          </w:rPr>
          <w:t xml:space="preserve">(1)</w:t>
        </w:r>
      </w:hyperlink>
    </w:p>
    <w:p>
      <w:pPr>
        <w:spacing w:after="58"/>
      </w:pPr>
      <w:r>
        <w:rPr>
          <w:b w:val="0"/>
          <w:i w:val="0"/>
        </w:rPr>
        <w:t>При подозрении на острый лейкоз верификация диагноза проводится с помощью цитологического и цитохимического исследования мазков костного мозга, многоцветной проточной цитометрии клеток костного мозга, цитогенетического и молекулярно-генетического анализа опухолевых клеток.</w:t>
      </w:r>
    </w:p>
    <w:p>
      <w:pPr>
        <w:spacing w:after="58"/>
      </w:pPr>
      <w:r>
        <w:rPr>
          <w:b w:val="0"/>
          <w:i w:val="0"/>
        </w:rPr>
        <w:t>Диагноз ОЛЛ ставится на основании обнаружения в пунктате костного мозга более 25% лейкемических клеток, для которых морфологически и цитохимически доказан один из вариантов лимфоидной дифференцировки.</w:t>
      </w:r>
    </w:p>
    <w:p>
      <w:pPr>
        <w:spacing w:after="58"/>
      </w:pPr>
      <w:hyperlink r:id="rId22">
        <w:r>
          <w:rPr>
            <w:color w:val="173C49"/>
            <w:u w:val="single"/>
          </w:rPr>
          <w:t xml:space="preserve">Клинические рекомендации Минздрава России. Острый лимфобластный лейкоз, 2024 г.</w:t>
        </w:r>
      </w:hyperlink>
    </w:p>
    <w:p>
      <w:pPr>
        <w:spacing w:after="58"/>
      </w:pPr>
      <w:hyperlink r:id="rId25">
        <w:r>
          <w:rPr>
            <w:color w:val="173C49"/>
            <w:u w:val="single"/>
          </w:rPr>
          <w:t xml:space="preserve">(1)</w:t>
        </w:r>
      </w:hyperlink>
    </w:p>
    <w:p>
      <w:pPr>
        <w:pStyle w:val="Heading3"/>
        <w:keepNext/>
      </w:pPr>
      <w:r>
        <w:rPr>
          <w:b/>
          <w:color w:val="173C49"/>
        </w:rPr>
        <w:t>Вопрос 2.</w:t>
      </w:r>
    </w:p>
    <w:p>
      <w:pPr>
        <w:keepNext/>
      </w:pPr>
      <w:r>
        <w:rPr>
          <w:b w:val="0"/>
          <w:i w:val="0"/>
        </w:rPr>
        <w:t>Наиболее предпочтительным для костномозговой пункции местом у этого пациента является</w:t>
      </w:r>
    </w:p>
    <w:p>
      <w:pPr>
        <w:tabs>
          <w:tab w:pos="490" w:val="left"/>
        </w:tabs>
        <w:spacing w:after="60"/>
        <w:ind w:left="490" w:hanging="490"/>
      </w:pPr>
      <w:r>
        <w:rPr>
          <w:b/>
        </w:rPr>
        <w:t>1.</w:t>
      </w:r>
      <w:r>
        <w:tab/>
      </w:r>
      <w:r>
        <w:rPr>
          <w:b w:val="0"/>
          <w:i w:val="0"/>
        </w:rPr>
        <w:t>грудина</w:t>
      </w:r>
    </w:p>
    <w:p>
      <w:pPr>
        <w:tabs>
          <w:tab w:pos="490" w:val="left"/>
        </w:tabs>
        <w:spacing w:after="60"/>
        <w:ind w:left="490" w:hanging="490"/>
      </w:pPr>
      <w:r>
        <w:rPr>
          <w:b/>
        </w:rPr>
        <w:t>2.</w:t>
      </w:r>
      <w:r>
        <w:tab/>
      </w:r>
      <w:r>
        <w:rPr>
          <w:b w:val="0"/>
          <w:i w:val="0"/>
        </w:rPr>
        <w:t>подвздошный гребень</w:t>
      </w:r>
    </w:p>
    <w:p>
      <w:pPr>
        <w:tabs>
          <w:tab w:pos="490" w:val="left"/>
        </w:tabs>
        <w:spacing w:after="60"/>
        <w:ind w:left="490" w:hanging="490"/>
      </w:pPr>
      <w:r>
        <w:rPr>
          <w:b/>
        </w:rPr>
        <w:t>3.</w:t>
      </w:r>
      <w:r>
        <w:tab/>
      </w:r>
      <w:r>
        <w:rPr>
          <w:b w:val="0"/>
          <w:i w:val="0"/>
        </w:rPr>
        <w:t>остистый отросток позвонка</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1"/>
                    <a:stretch>
                      <a:fillRect/>
                    </a:stretch>
                  </pic:blipFill>
                  <pic:spPr>
                    <a:xfrm>
                      <a:off x="0" y="0"/>
                      <a:ext cx="214884" cy="214884"/>
                    </a:xfrm>
                    <a:prstGeom prst="rect"/>
                  </pic:spPr>
                </pic:pic>
              </a:graphicData>
            </a:graphic>
          </wp:inline>
        </w:drawing>
      </w:r>
      <w:r>
        <w:tab/>
      </w:r>
      <w:r>
        <w:rPr>
          <w:b w:val="0"/>
          <w:i w:val="0"/>
        </w:rPr>
        <w:t>бугристость большеберцовой кости</w:t>
      </w:r>
    </w:p>
    <w:p>
      <w:pPr>
        <w:ind w:left="288"/>
      </w:pPr>
      <w:r>
        <w:rPr>
          <w:b/>
          <w:color w:val="173C49"/>
        </w:rPr>
        <w:t>Правильный ответ:</w:t>
      </w:r>
      <w:r>
        <w:br/>
      </w:r>
      <w:r>
        <w:rPr>
          <w:b/>
          <w:i w:val="0"/>
        </w:rPr>
        <w:t>4 - бугристость большеберцовой кости</w:t>
      </w:r>
    </w:p>
    <w:p>
      <w:pPr>
        <w:spacing w:after="58"/>
      </w:pPr>
      <w:r>
        <w:rPr>
          <w:b w:val="0"/>
          <w:i w:val="0"/>
        </w:rPr>
        <w:t>У детей младше года для проведения костномозговых пункций используются бугристость большеберцовой кости и пяточная кость.</w:t>
      </w:r>
    </w:p>
    <w:p>
      <w:pPr>
        <w:spacing w:after="58"/>
      </w:pPr>
      <w:r>
        <w:rPr>
          <w:b w:val="0"/>
          <w:i w:val="0"/>
        </w:rPr>
        <w:t>Педиатрия / под ред. А. А. Баранова - Москва : ГЭОТАР-Медиа, 2014. - 768 с. - ISBN 978-5-9704-2787-3</w:t>
      </w:r>
    </w:p>
    <w:p>
      <w:pPr>
        <w:spacing w:after="58"/>
      </w:pPr>
      <w:hyperlink r:id="rId26">
        <w:r>
          <w:rPr>
            <w:color w:val="173C49"/>
            <w:u w:val="single"/>
          </w:rPr>
          <w:t xml:space="preserve">(1)</w:t>
        </w:r>
      </w:hyperlink>
    </w:p>
    <w:p>
      <w:pPr>
        <w:spacing w:after="58"/>
      </w:pPr>
      <w:hyperlink r:id="rId22">
        <w:r>
          <w:rPr>
            <w:color w:val="173C49"/>
            <w:u w:val="single"/>
          </w:rPr>
          <w:t xml:space="preserve">Клинические рекомендации Минздрава России. Острый лимфобластный лейкоз, 2024 г.</w:t>
        </w:r>
      </w:hyperlink>
    </w:p>
    <w:p>
      <w:pPr>
        <w:spacing w:after="58"/>
      </w:pPr>
      <w:hyperlink r:id="rId27">
        <w:r>
          <w:rPr>
            <w:color w:val="173C49"/>
            <w:u w:val="single"/>
          </w:rPr>
          <w:t xml:space="preserve">(1)</w:t>
        </w:r>
      </w:hyperlink>
    </w:p>
    <w:p>
      <w:pPr>
        <w:pStyle w:val="Heading3"/>
        <w:keepNext/>
      </w:pPr>
      <w:r>
        <w:rPr>
          <w:b/>
          <w:color w:val="173C49"/>
        </w:rPr>
        <w:t>Вопрос 3.</w:t>
      </w:r>
    </w:p>
    <w:p>
      <w:pPr>
        <w:keepNext/>
      </w:pPr>
      <w:r>
        <w:rPr>
          <w:b w:val="0"/>
          <w:i w:val="0"/>
        </w:rPr>
        <w:t>Для уточнения диагноза необходимо провести</w:t>
      </w:r>
    </w:p>
    <w:p>
      <w:pPr>
        <w:tabs>
          <w:tab w:pos="490" w:val="left"/>
        </w:tabs>
        <w:spacing w:after="60"/>
        <w:ind w:left="490" w:hanging="490"/>
      </w:pPr>
      <w:r>
        <w:rPr>
          <w:b/>
        </w:rPr>
        <w:t>1.</w:t>
      </w:r>
      <w:r>
        <w:tab/>
      </w:r>
      <w:r>
        <w:rPr>
          <w:b w:val="0"/>
          <w:i w:val="0"/>
        </w:rPr>
        <w:t>сцинтиграфию костей</w:t>
      </w:r>
    </w:p>
    <w:p>
      <w:pPr>
        <w:tabs>
          <w:tab w:pos="490" w:val="left"/>
        </w:tabs>
        <w:spacing w:after="60"/>
        <w:ind w:left="490" w:hanging="490"/>
      </w:pPr>
      <w:r>
        <w:rPr>
          <w:b/>
        </w:rPr>
        <w:t>2.</w:t>
      </w:r>
      <w:r>
        <w:tab/>
      </w:r>
      <w:r>
        <w:rPr>
          <w:b w:val="0"/>
          <w:i w:val="0"/>
        </w:rPr>
        <w:t>УЗИ тазобедренных суставов</w:t>
      </w:r>
    </w:p>
    <w:p>
      <w:pPr>
        <w:tabs>
          <w:tab w:pos="490" w:val="left"/>
        </w:tabs>
        <w:spacing w:after="60"/>
        <w:ind w:left="490" w:hanging="490"/>
      </w:pPr>
      <w:r>
        <w:rPr>
          <w:b/>
        </w:rPr>
        <w:t>3.</w:t>
      </w:r>
      <w:r>
        <w:tab/>
      </w:r>
      <w:r>
        <w:rPr>
          <w:b w:val="0"/>
          <w:i w:val="0"/>
        </w:rPr>
        <w:t>УЗИ вен шеи (с допплерографией)</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1"/>
                    <a:stretch>
                      <a:fillRect/>
                    </a:stretch>
                  </pic:blipFill>
                  <pic:spPr>
                    <a:xfrm>
                      <a:off x="0" y="0"/>
                      <a:ext cx="214884" cy="214884"/>
                    </a:xfrm>
                    <a:prstGeom prst="rect"/>
                  </pic:spPr>
                </pic:pic>
              </a:graphicData>
            </a:graphic>
          </wp:inline>
        </w:drawing>
      </w:r>
      <w:r>
        <w:tab/>
      </w:r>
      <w:r>
        <w:rPr>
          <w:b w:val="0"/>
          <w:i w:val="0"/>
        </w:rPr>
        <w:t>цитогенетическое и молекулярно-генетическое исследование бластных клеток</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5" descr="Правильный ответ: вариант 5"/>
            <wp:cNvGraphicFramePr>
              <a:graphicFrameLocks noChangeAspect="1"/>
            </wp:cNvGraphicFramePr>
            <a:graphic>
              <a:graphicData uri="http://schemas.openxmlformats.org/drawingml/2006/picture">
                <pic:pic>
                  <pic:nvPicPr>
                    <pic:cNvPr id="0" name="correct-choice-5.png"/>
                    <pic:cNvPicPr/>
                  </pic:nvPicPr>
                  <pic:blipFill>
                    <a:blip r:embed="rId28"/>
                    <a:stretch>
                      <a:fillRect/>
                    </a:stretch>
                  </pic:blipFill>
                  <pic:spPr>
                    <a:xfrm>
                      <a:off x="0" y="0"/>
                      <a:ext cx="214884" cy="214884"/>
                    </a:xfrm>
                    <a:prstGeom prst="rect"/>
                  </pic:spPr>
                </pic:pic>
              </a:graphicData>
            </a:graphic>
          </wp:inline>
        </w:drawing>
      </w:r>
      <w:r>
        <w:tab/>
      </w:r>
      <w:r>
        <w:rPr>
          <w:b w:val="0"/>
          <w:i w:val="0"/>
        </w:rPr>
        <w:t>исследование спинномозговой жидкости</w:t>
      </w:r>
    </w:p>
    <w:p>
      <w:pPr>
        <w:tabs>
          <w:tab w:pos="490" w:val="left"/>
        </w:tabs>
        <w:spacing w:after="60"/>
        <w:ind w:left="490" w:hanging="490"/>
      </w:pPr>
      <w:r>
        <w:rPr>
          <w:b/>
        </w:rPr>
        <w:t>6.</w:t>
      </w:r>
      <w:r>
        <w:tab/>
      </w:r>
      <w:r>
        <w:rPr>
          <w:b w:val="0"/>
          <w:i w:val="0"/>
        </w:rPr>
        <w:t>ДЭБ-тест</w:t>
      </w:r>
    </w:p>
    <w:p>
      <w:pPr>
        <w:ind w:left="288"/>
      </w:pPr>
      <w:r>
        <w:rPr>
          <w:b/>
          <w:color w:val="173C49"/>
        </w:rPr>
        <w:t>Правильные ответы:</w:t>
      </w:r>
      <w:r>
        <w:br/>
      </w:r>
      <w:r>
        <w:rPr>
          <w:b/>
          <w:i w:val="0"/>
        </w:rPr>
        <w:t>4 - цитогенетическое и молекулярно-генетическое исследование бластных клеток</w:t>
      </w:r>
      <w:r>
        <w:br/>
      </w:r>
      <w:r>
        <w:rPr>
          <w:b/>
          <w:i w:val="0"/>
        </w:rPr>
        <w:t>5 - исследование спинномозговой жидкости</w:t>
      </w:r>
    </w:p>
    <w:p>
      <w:pPr>
        <w:spacing w:after="58"/>
      </w:pPr>
      <w:r>
        <w:rPr>
          <w:b w:val="0"/>
          <w:i w:val="0"/>
        </w:rPr>
        <w:t>Цитогенетическое и молекулярно-генетическое исследование бластных клеток рекомендуется у всех пациентов с ОЛЛ.</w:t>
      </w:r>
    </w:p>
    <w:p>
      <w:pPr>
        <w:spacing w:after="58"/>
      </w:pPr>
      <w:r>
        <w:rPr>
          <w:b w:val="0"/>
          <w:i w:val="0"/>
        </w:rPr>
        <w:t>Цитогенетическое исследование лейкемических клеток должно обязательно включать в себя кариотипирование, исследование методом флуоресцентной _in__ __situ_ гибридизации (FISH) и ОТ-ПЦР для выявления всего спектра характерных перестроек.</w:t>
      </w:r>
    </w:p>
    <w:p>
      <w:pPr>
        <w:spacing w:after="58"/>
      </w:pPr>
      <w:hyperlink r:id="rId22">
        <w:r>
          <w:rPr>
            <w:color w:val="173C49"/>
            <w:u w:val="single"/>
          </w:rPr>
          <w:t xml:space="preserve">Клинические рекомендации Минздрава России. Острый лимфобластный лейкоз, 2024 г.</w:t>
        </w:r>
      </w:hyperlink>
    </w:p>
    <w:p>
      <w:pPr>
        <w:spacing w:after="58"/>
      </w:pPr>
      <w:hyperlink r:id="rId29">
        <w:r>
          <w:rPr>
            <w:color w:val="173C49"/>
            <w:u w:val="single"/>
          </w:rPr>
          <w:t xml:space="preserve">(1)</w:t>
        </w:r>
      </w:hyperlink>
    </w:p>
    <w:p>
      <w:pPr>
        <w:spacing w:after="58"/>
      </w:pPr>
      <w:r>
        <w:rPr>
          <w:b w:val="0"/>
          <w:i w:val="0"/>
        </w:rPr>
        <w:t>Исследование ликвора обязательно для подтверждения/исключения диагноза поражения ЦНС (нейролейкемии), что необходимо для точного определения группы риска и назначения адекватной терапии.</w:t>
      </w:r>
    </w:p>
    <w:p>
      <w:pPr>
        <w:spacing w:after="58"/>
      </w:pPr>
      <w:hyperlink r:id="rId22">
        <w:r>
          <w:rPr>
            <w:color w:val="173C49"/>
            <w:u w:val="single"/>
          </w:rPr>
          <w:t xml:space="preserve">Клинические рекомендации Минздрава России. Острый лимфобластный лейкоз, 2024 г.</w:t>
        </w:r>
      </w:hyperlink>
    </w:p>
    <w:p>
      <w:pPr>
        <w:spacing w:after="58"/>
      </w:pPr>
      <w:hyperlink r:id="rId30">
        <w:r>
          <w:rPr>
            <w:color w:val="173C49"/>
            <w:u w:val="single"/>
          </w:rPr>
          <w:t xml:space="preserve">(1)</w:t>
        </w:r>
      </w:hyperlink>
    </w:p>
    <w:p>
      <w:pPr>
        <w:pStyle w:val="Heading2"/>
      </w:pPr>
      <w:r>
        <w:t>2. Диагноз</w:t>
      </w:r>
    </w:p>
    <w:p>
      <w:pPr>
        <w:pStyle w:val="Heading3"/>
        <w:keepNext/>
      </w:pPr>
      <w:r>
        <w:rPr>
          <w:b/>
          <w:color w:val="173C49"/>
        </w:rPr>
        <w:t>Вопрос 4.</w:t>
      </w:r>
    </w:p>
    <w:p>
      <w:pPr>
        <w:keepNext/>
      </w:pPr>
      <w:r>
        <w:rPr>
          <w:b w:val="0"/>
          <w:i w:val="0"/>
        </w:rPr>
        <w:t>Предполагаемый основной диагноз</w:t>
      </w:r>
    </w:p>
    <w:p>
      <w:pPr>
        <w:tabs>
          <w:tab w:pos="490" w:val="left"/>
        </w:tabs>
        <w:spacing w:after="60"/>
        <w:ind w:left="490" w:hanging="490"/>
      </w:pPr>
      <w:r>
        <w:rPr>
          <w:b/>
        </w:rPr>
        <w:t>1.</w:t>
      </w:r>
      <w:r>
        <w:tab/>
      </w:r>
      <w:r>
        <w:rPr>
          <w:b w:val="0"/>
          <w:i w:val="0"/>
        </w:rPr>
        <w:t>Острый билинейный лейкоз</w:t>
      </w:r>
    </w:p>
    <w:p>
      <w:pPr>
        <w:tabs>
          <w:tab w:pos="490" w:val="left"/>
        </w:tabs>
        <w:spacing w:after="60"/>
        <w:ind w:left="490" w:hanging="490"/>
      </w:pPr>
      <w:r>
        <w:rPr>
          <w:b/>
        </w:rPr>
        <w:t>2.</w:t>
      </w:r>
      <w:r>
        <w:tab/>
      </w:r>
      <w:r>
        <w:rPr>
          <w:b w:val="0"/>
          <w:i w:val="0"/>
        </w:rPr>
        <w:t>Острый бифенотипический лейкоз</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0"/>
                    <a:stretch>
                      <a:fillRect/>
                    </a:stretch>
                  </pic:blipFill>
                  <pic:spPr>
                    <a:xfrm>
                      <a:off x="0" y="0"/>
                      <a:ext cx="214884" cy="214884"/>
                    </a:xfrm>
                    <a:prstGeom prst="rect"/>
                  </pic:spPr>
                </pic:pic>
              </a:graphicData>
            </a:graphic>
          </wp:inline>
        </w:drawing>
      </w:r>
      <w:r>
        <w:tab/>
      </w:r>
      <w:r>
        <w:rPr>
          <w:b w:val="0"/>
          <w:i w:val="0"/>
        </w:rPr>
        <w:t>Острый лимфобластный лейкоз</w:t>
      </w:r>
    </w:p>
    <w:p>
      <w:pPr>
        <w:tabs>
          <w:tab w:pos="490" w:val="left"/>
        </w:tabs>
        <w:spacing w:after="60"/>
        <w:ind w:left="490" w:hanging="490"/>
      </w:pPr>
      <w:r>
        <w:rPr>
          <w:b/>
        </w:rPr>
        <w:t>4.</w:t>
      </w:r>
      <w:r>
        <w:tab/>
      </w:r>
      <w:r>
        <w:rPr>
          <w:b w:val="0"/>
          <w:i w:val="0"/>
        </w:rPr>
        <w:t>Лимфобластная лимфома</w:t>
      </w:r>
    </w:p>
    <w:p>
      <w:pPr>
        <w:ind w:left="288"/>
      </w:pPr>
      <w:r>
        <w:rPr>
          <w:b/>
          <w:color w:val="173C49"/>
        </w:rPr>
        <w:t>Правильный ответ:</w:t>
      </w:r>
      <w:r>
        <w:br/>
      </w:r>
      <w:r>
        <w:rPr>
          <w:b/>
          <w:i w:val="0"/>
        </w:rPr>
        <w:t>3 - Острый лимфобластный лейкоз</w:t>
      </w:r>
    </w:p>
    <w:p>
      <w:pPr>
        <w:spacing w:after="58"/>
      </w:pPr>
      <w:r>
        <w:rPr>
          <w:b w:val="0"/>
          <w:i w:val="0"/>
        </w:rPr>
        <w:t>На основании данных обследования (в миелограмме 95% анаплазированных бластных клеток по морфологическим и цитохимическим характеристикам соответствующих опухолевым лимфобластам (L1-L2); при иммунофенотипировании выявлена популяция опухолевых клеток с иммунофенотипом BI; по данным молекулярно-гентического исследования выявлена t(4; 11)(q21; q23)) пациенту поставлен диагноз: Острый лимфобластный лейкоз, BI-вариант, t(4; 11), 1 острый период.</w:t>
      </w:r>
    </w:p>
    <w:p>
      <w:pPr>
        <w:spacing w:after="58"/>
      </w:pPr>
      <w:hyperlink r:id="rId22">
        <w:r>
          <w:rPr>
            <w:color w:val="173C49"/>
            <w:u w:val="single"/>
          </w:rPr>
          <w:t xml:space="preserve">Клинические рекомендации Минздрава России. Острый лимфобластный лейкоз, 2024 г.</w:t>
        </w:r>
      </w:hyperlink>
    </w:p>
    <w:p>
      <w:pPr>
        <w:spacing w:after="58"/>
      </w:pPr>
      <w:hyperlink r:id="rId31">
        <w:r>
          <w:rPr>
            <w:color w:val="173C49"/>
            <w:u w:val="single"/>
          </w:rPr>
          <w:t xml:space="preserve">(1)</w:t>
        </w:r>
      </w:hyperlink>
    </w:p>
    <w:p>
      <w:pPr>
        <w:pStyle w:val="Heading3"/>
        <w:keepNext/>
      </w:pPr>
      <w:r>
        <w:rPr>
          <w:b/>
          <w:color w:val="173C49"/>
        </w:rPr>
        <w:t>Вопрос 5.</w:t>
      </w:r>
    </w:p>
    <w:p>
      <w:pPr>
        <w:keepNext/>
      </w:pPr>
      <w:r>
        <w:rPr>
          <w:b w:val="0"/>
          <w:i w:val="0"/>
        </w:rPr>
        <w:t>Статус ЦНС в этом случае расценивается как</w:t>
      </w:r>
    </w:p>
    <w:p>
      <w:pPr>
        <w:tabs>
          <w:tab w:pos="490" w:val="left"/>
        </w:tabs>
        <w:spacing w:after="60"/>
        <w:ind w:left="490" w:hanging="490"/>
      </w:pPr>
      <w:r>
        <w:rPr>
          <w:b/>
        </w:rPr>
        <w:t>1.</w:t>
      </w:r>
      <w:r>
        <w:tab/>
      </w:r>
      <w:r>
        <w:rPr>
          <w:b w:val="0"/>
          <w:i w:val="0"/>
        </w:rPr>
        <w:t>ЦНС 3</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32"/>
                    <a:stretch>
                      <a:fillRect/>
                    </a:stretch>
                  </pic:blipFill>
                  <pic:spPr>
                    <a:xfrm>
                      <a:off x="0" y="0"/>
                      <a:ext cx="214884" cy="214884"/>
                    </a:xfrm>
                    <a:prstGeom prst="rect"/>
                  </pic:spPr>
                </pic:pic>
              </a:graphicData>
            </a:graphic>
          </wp:inline>
        </w:drawing>
      </w:r>
      <w:r>
        <w:tab/>
      </w:r>
      <w:r>
        <w:rPr>
          <w:b w:val="0"/>
          <w:i w:val="0"/>
        </w:rPr>
        <w:t>ЦНС 2</w:t>
      </w:r>
    </w:p>
    <w:p>
      <w:pPr>
        <w:tabs>
          <w:tab w:pos="490" w:val="left"/>
        </w:tabs>
        <w:spacing w:after="60"/>
        <w:ind w:left="490" w:hanging="490"/>
      </w:pPr>
      <w:r>
        <w:rPr>
          <w:b/>
        </w:rPr>
        <w:t>3.</w:t>
      </w:r>
      <w:r>
        <w:tab/>
      </w:r>
      <w:r>
        <w:rPr>
          <w:b w:val="0"/>
          <w:i w:val="0"/>
        </w:rPr>
        <w:t>ЦНС 1</w:t>
      </w:r>
    </w:p>
    <w:p>
      <w:pPr>
        <w:tabs>
          <w:tab w:pos="490" w:val="left"/>
        </w:tabs>
        <w:spacing w:after="60"/>
        <w:ind w:left="490" w:hanging="490"/>
      </w:pPr>
      <w:r>
        <w:rPr>
          <w:b/>
        </w:rPr>
        <w:t>4.</w:t>
      </w:r>
      <w:r>
        <w:tab/>
      </w:r>
      <w:r>
        <w:rPr>
          <w:b w:val="0"/>
          <w:i w:val="0"/>
        </w:rPr>
        <w:t>ЦНС 0</w:t>
      </w:r>
    </w:p>
    <w:p>
      <w:pPr>
        <w:ind w:left="288"/>
      </w:pPr>
      <w:r>
        <w:rPr>
          <w:b/>
          <w:color w:val="173C49"/>
        </w:rPr>
        <w:t>Правильный ответ:</w:t>
      </w:r>
      <w:r>
        <w:br/>
      </w:r>
      <w:r>
        <w:rPr>
          <w:b/>
          <w:i w:val="0"/>
        </w:rPr>
        <w:t>2 - ЦНС 2</w:t>
      </w:r>
    </w:p>
    <w:p>
      <w:pPr>
        <w:spacing w:after="58"/>
      </w:pPr>
      <w:r>
        <w:rPr>
          <w:b w:val="0"/>
          <w:i w:val="0"/>
        </w:rPr>
        <w:t>В результате анализа ликвора возможны следующие варианты:</w:t>
      </w:r>
    </w:p>
    <w:p>
      <w:pPr>
        <w:spacing w:after="58"/>
      </w:pPr>
      <w:r>
        <w:rPr>
          <w:b w:val="0"/>
          <w:i w:val="0"/>
        </w:rPr>
        <w:t>* ЦНС1 – пункция не травматичная (&lt;10 эритроцитов/мкл), &lt;10 лейкоцитов/мкл, отсутствие лейкемических клеток;</w:t>
      </w:r>
    </w:p>
    <w:p>
      <w:pPr>
        <w:spacing w:after="58"/>
      </w:pPr>
      <w:r>
        <w:rPr>
          <w:b w:val="0"/>
          <w:i w:val="0"/>
        </w:rPr>
        <w:t>* ЦНС2 – пункция не травматична (&lt;10 эритроцитов/мкл), &lt;10 лейкоцитов/мкл, возможно наличие лейкемических клеток;</w:t>
      </w:r>
    </w:p>
    <w:p>
      <w:pPr>
        <w:spacing w:after="58"/>
      </w:pPr>
      <w:r>
        <w:rPr>
          <w:b w:val="0"/>
          <w:i w:val="0"/>
        </w:rPr>
        <w:t>* ЦНС3 – пункция не травматична, ≥10 лейкоцитов/мкл, наличие лейкемических клеток после цитоцентрифугирования.</w:t>
      </w:r>
    </w:p>
    <w:p>
      <w:pPr>
        <w:spacing w:after="58"/>
      </w:pPr>
      <w:hyperlink r:id="rId22">
        <w:r>
          <w:rPr>
            <w:color w:val="173C49"/>
            <w:u w:val="single"/>
          </w:rPr>
          <w:t xml:space="preserve">Клинические рекомендации Минздрава России. Острый лимфобластный лейкоз, 2024 г.</w:t>
        </w:r>
      </w:hyperlink>
    </w:p>
    <w:p>
      <w:pPr>
        <w:spacing w:after="58"/>
      </w:pPr>
      <w:hyperlink r:id="rId33">
        <w:r>
          <w:rPr>
            <w:color w:val="173C49"/>
            <w:u w:val="single"/>
          </w:rPr>
          <w:t xml:space="preserve">(1)</w:t>
        </w:r>
      </w:hyperlink>
    </w:p>
    <w:p>
      <w:pPr>
        <w:pStyle w:val="Heading2"/>
      </w:pPr>
      <w:r>
        <w:t>3. Лечение</w:t>
      </w:r>
    </w:p>
    <w:p>
      <w:pPr>
        <w:pStyle w:val="Heading3"/>
        <w:keepNext/>
      </w:pPr>
      <w:r>
        <w:rPr>
          <w:b/>
          <w:color w:val="173C49"/>
        </w:rPr>
        <w:t>Вопрос 6.</w:t>
      </w:r>
    </w:p>
    <w:p>
      <w:pPr>
        <w:keepNext/>
      </w:pPr>
      <w:r>
        <w:rPr>
          <w:b w:val="0"/>
          <w:i w:val="0"/>
        </w:rPr>
        <w:t>Терапия ОЛЛ начинается с фазы</w:t>
      </w:r>
    </w:p>
    <w:p>
      <w:pPr>
        <w:tabs>
          <w:tab w:pos="490" w:val="left"/>
        </w:tabs>
        <w:spacing w:after="60"/>
        <w:ind w:left="490" w:hanging="490"/>
      </w:pPr>
      <w:r>
        <w:rPr>
          <w:b/>
        </w:rPr>
        <w:t>1.</w:t>
      </w:r>
      <w:r>
        <w:tab/>
      </w:r>
      <w:r>
        <w:rPr>
          <w:b w:val="0"/>
          <w:i w:val="0"/>
        </w:rPr>
        <w:t>лучевой терапии</w:t>
      </w:r>
    </w:p>
    <w:p>
      <w:pPr>
        <w:tabs>
          <w:tab w:pos="490" w:val="left"/>
        </w:tabs>
        <w:spacing w:after="60"/>
        <w:ind w:left="490" w:hanging="490"/>
      </w:pPr>
      <w:r>
        <w:rPr>
          <w:b/>
        </w:rPr>
        <w:t>2.</w:t>
      </w:r>
      <w:r>
        <w:tab/>
      </w:r>
      <w:r>
        <w:rPr>
          <w:b w:val="0"/>
          <w:i w:val="0"/>
        </w:rPr>
        <w:t>консолидации</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0"/>
                    <a:stretch>
                      <a:fillRect/>
                    </a:stretch>
                  </pic:blipFill>
                  <pic:spPr>
                    <a:xfrm>
                      <a:off x="0" y="0"/>
                      <a:ext cx="214884" cy="214884"/>
                    </a:xfrm>
                    <a:prstGeom prst="rect"/>
                  </pic:spPr>
                </pic:pic>
              </a:graphicData>
            </a:graphic>
          </wp:inline>
        </w:drawing>
      </w:r>
      <w:r>
        <w:tab/>
      </w:r>
      <w:r>
        <w:rPr>
          <w:b w:val="0"/>
          <w:i w:val="0"/>
        </w:rPr>
        <w:t>индукции</w:t>
      </w:r>
    </w:p>
    <w:p>
      <w:pPr>
        <w:tabs>
          <w:tab w:pos="490" w:val="left"/>
        </w:tabs>
        <w:spacing w:after="60"/>
        <w:ind w:left="490" w:hanging="490"/>
      </w:pPr>
      <w:r>
        <w:rPr>
          <w:b/>
        </w:rPr>
        <w:t>4.</w:t>
      </w:r>
      <w:r>
        <w:tab/>
      </w:r>
      <w:r>
        <w:rPr>
          <w:b w:val="0"/>
          <w:i w:val="0"/>
        </w:rPr>
        <w:t>поддерживающей терапии</w:t>
      </w:r>
    </w:p>
    <w:p>
      <w:pPr>
        <w:ind w:left="288"/>
      </w:pPr>
      <w:r>
        <w:rPr>
          <w:b/>
          <w:color w:val="173C49"/>
        </w:rPr>
        <w:t>Правильный ответ:</w:t>
      </w:r>
      <w:r>
        <w:br/>
      </w:r>
      <w:r>
        <w:rPr>
          <w:b/>
          <w:i w:val="0"/>
        </w:rPr>
        <w:t>3 - индукции</w:t>
      </w:r>
    </w:p>
    <w:p>
      <w:pPr>
        <w:spacing w:after="58"/>
      </w:pPr>
      <w:r>
        <w:rPr>
          <w:b w:val="0"/>
          <w:i w:val="0"/>
        </w:rPr>
        <w:t>Современное лечение ОЛЛ состоит из нескольких основных фаз: индукция ремиссии с помощью 4 и более агентов, вводимых в течение 4-6 недель, мультиагентная консолидация («закрепление») ремиссии и поддерживающая терапия, как правило, антиметаболитами в течение 2-3 лет. Краниальное облучение проводится отдельным категориям больных после фазы консолидации, перед началом поддерживающей терапии.</w:t>
      </w:r>
    </w:p>
    <w:p>
      <w:pPr>
        <w:spacing w:after="58"/>
      </w:pPr>
      <w:hyperlink r:id="rId22">
        <w:r>
          <w:rPr>
            <w:color w:val="173C49"/>
            <w:u w:val="single"/>
          </w:rPr>
          <w:t xml:space="preserve">Клинические рекомендации Минздрава России. Острый лимфобластный лейкоз, 2024 г.</w:t>
        </w:r>
      </w:hyperlink>
    </w:p>
    <w:p>
      <w:pPr>
        <w:spacing w:after="58"/>
      </w:pPr>
      <w:hyperlink r:id="rId34">
        <w:r>
          <w:rPr>
            <w:color w:val="173C49"/>
            <w:u w:val="single"/>
          </w:rPr>
          <w:t xml:space="preserve">(1)</w:t>
        </w:r>
      </w:hyperlink>
    </w:p>
    <w:p>
      <w:pPr>
        <w:pStyle w:val="Heading3"/>
        <w:keepNext/>
      </w:pPr>
      <w:r>
        <w:rPr>
          <w:b/>
          <w:color w:val="173C49"/>
        </w:rPr>
        <w:t>Вопрос 7.</w:t>
      </w:r>
    </w:p>
    <w:p>
      <w:pPr>
        <w:keepNext/>
      </w:pPr>
      <w:r>
        <w:rPr>
          <w:b w:val="0"/>
          <w:i w:val="0"/>
        </w:rPr>
        <w:t>Расчет дозы химиопрепаратов у данного ребенка будет проводиться на</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площадь поверхности тела в м</w:t>
      </w:r>
      <w:r>
        <w:rPr>
          <w:b w:val="0"/>
          <w:i w:val="0"/>
          <w:vertAlign w:val="superscript"/>
        </w:rPr>
        <w:t>2</w:t>
      </w:r>
    </w:p>
    <w:p>
      <w:pPr>
        <w:tabs>
          <w:tab w:pos="490" w:val="left"/>
        </w:tabs>
        <w:spacing w:after="60"/>
        <w:ind w:left="490" w:hanging="490"/>
      </w:pPr>
      <w:r>
        <w:rPr>
          <w:b/>
        </w:rPr>
        <w:t>2.</w:t>
      </w:r>
      <w:r>
        <w:tab/>
      </w:r>
      <w:r>
        <w:rPr>
          <w:b w:val="0"/>
          <w:i w:val="0"/>
        </w:rPr>
        <w:t>возраст в месяцах</w:t>
      </w:r>
    </w:p>
    <w:p>
      <w:pPr>
        <w:tabs>
          <w:tab w:pos="490" w:val="left"/>
        </w:tabs>
        <w:spacing w:after="60"/>
        <w:ind w:left="490" w:hanging="490"/>
      </w:pPr>
      <w:r>
        <w:rPr>
          <w:b/>
        </w:rPr>
        <w:t>3.</w:t>
      </w:r>
      <w:r>
        <w:tab/>
      </w:r>
      <w:r>
        <w:rPr>
          <w:b w:val="0"/>
          <w:i w:val="0"/>
        </w:rPr>
        <w:t>возраст в годах</w:t>
      </w:r>
    </w:p>
    <w:p>
      <w:pPr>
        <w:tabs>
          <w:tab w:pos="490" w:val="left"/>
        </w:tabs>
        <w:spacing w:after="60"/>
        <w:ind w:left="490" w:hanging="490"/>
      </w:pPr>
      <w:r>
        <w:rPr>
          <w:b/>
        </w:rPr>
        <w:t>4.</w:t>
      </w:r>
      <w:r>
        <w:tab/>
      </w:r>
      <w:r>
        <w:rPr>
          <w:b w:val="0"/>
          <w:i w:val="0"/>
        </w:rPr>
        <w:t>вес пациента в кг</w:t>
      </w:r>
    </w:p>
    <w:p>
      <w:pPr>
        <w:ind w:left="288"/>
      </w:pPr>
      <w:r>
        <w:rPr>
          <w:b/>
          <w:color w:val="173C49"/>
        </w:rPr>
        <w:t>Правильный ответ:</w:t>
      </w:r>
      <w:r>
        <w:br/>
      </w:r>
      <w:r>
        <w:rPr>
          <w:b/>
          <w:i w:val="0"/>
        </w:rPr>
        <w:t>1 - площадь поверхности тела в м</w:t>
      </w:r>
      <w:r>
        <w:rPr>
          <w:b/>
          <w:i w:val="0"/>
          <w:vertAlign w:val="superscript"/>
        </w:rPr>
        <w:t>2</w:t>
      </w:r>
    </w:p>
    <w:p>
      <w:pPr>
        <w:spacing w:after="58"/>
      </w:pPr>
      <w:r>
        <w:rPr>
          <w:b w:val="0"/>
          <w:i w:val="0"/>
        </w:rPr>
        <w:t>Расчет химиотерапии у детей проводится на площадь поверхности тела в м</w:t>
      </w:r>
      <w:r>
        <w:rPr>
          <w:b w:val="0"/>
          <w:i w:val="0"/>
          <w:vertAlign w:val="superscript"/>
        </w:rPr>
        <w:t>2</w:t>
      </w:r>
      <w:r>
        <w:rPr>
          <w:b w:val="0"/>
          <w:i w:val="0"/>
        </w:rPr>
        <w:t>.</w:t>
      </w:r>
    </w:p>
    <w:p>
      <w:pPr>
        <w:spacing w:after="58"/>
      </w:pPr>
      <w:hyperlink r:id="rId22">
        <w:r>
          <w:rPr>
            <w:color w:val="173C49"/>
            <w:u w:val="single"/>
          </w:rPr>
          <w:t xml:space="preserve">Клинические рекомендации Минздрава России. Острый лимфобластный лейкоз, 2024 г.</w:t>
        </w:r>
      </w:hyperlink>
    </w:p>
    <w:p>
      <w:pPr>
        <w:spacing w:after="58"/>
      </w:pPr>
      <w:hyperlink r:id="rId35">
        <w:r>
          <w:rPr>
            <w:color w:val="173C49"/>
            <w:u w:val="single"/>
          </w:rPr>
          <w:t xml:space="preserve">(1)</w:t>
        </w:r>
      </w:hyperlink>
    </w:p>
    <w:p>
      <w:pPr>
        <w:pStyle w:val="Heading3"/>
        <w:keepNext/>
      </w:pPr>
      <w:r>
        <w:rPr>
          <w:b/>
          <w:color w:val="173C49"/>
        </w:rPr>
        <w:t>Вопрос 8.</w:t>
      </w:r>
    </w:p>
    <w:p>
      <w:pPr>
        <w:keepNext/>
      </w:pPr>
      <w:r>
        <w:rPr>
          <w:b w:val="0"/>
          <w:i w:val="0"/>
        </w:rPr>
        <w:t xml:space="preserve">Данному пациенту будет вводиться </w:t>
      </w:r>
      <w:r>
        <w:rPr>
          <w:b w:val="0"/>
          <w:i w:val="0"/>
        </w:rPr>
        <w:t>_____</w:t>
      </w:r>
      <w:r>
        <w:rPr>
          <w:b w:val="0"/>
          <w:i w:val="0"/>
        </w:rPr>
        <w:t xml:space="preserve"> от расчетной дозы химиопрепаратов</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vertAlign w:val="superscript"/>
        </w:rPr>
        <w:t>2</w:t>
      </w:r>
      <w:r>
        <w:rPr>
          <w:b w:val="0"/>
          <w:i w:val="0"/>
        </w:rPr>
        <w:t>/</w:t>
      </w:r>
      <w:r>
        <w:rPr>
          <w:b w:val="0"/>
          <w:i w:val="0"/>
          <w:vertAlign w:val="subscript"/>
        </w:rPr>
        <w:t>3</w:t>
      </w:r>
    </w:p>
    <w:p>
      <w:pPr>
        <w:tabs>
          <w:tab w:pos="490" w:val="left"/>
        </w:tabs>
        <w:spacing w:after="60"/>
        <w:ind w:left="490" w:hanging="490"/>
      </w:pPr>
      <w:r>
        <w:rPr>
          <w:b/>
        </w:rPr>
        <w:t>2.</w:t>
      </w:r>
      <w:r>
        <w:tab/>
      </w:r>
      <w:r>
        <w:rPr>
          <w:b w:val="0"/>
          <w:i w:val="0"/>
        </w:rPr>
        <w:t>150%</w:t>
      </w:r>
    </w:p>
    <w:p>
      <w:pPr>
        <w:tabs>
          <w:tab w:pos="490" w:val="left"/>
        </w:tabs>
        <w:spacing w:after="60"/>
        <w:ind w:left="490" w:hanging="490"/>
      </w:pPr>
      <w:r>
        <w:rPr>
          <w:b/>
        </w:rPr>
        <w:t>3.</w:t>
      </w:r>
      <w:r>
        <w:tab/>
      </w:r>
      <w:r>
        <w:rPr>
          <w:b w:val="0"/>
          <w:i w:val="0"/>
        </w:rPr>
        <w:t>100%</w:t>
      </w:r>
    </w:p>
    <w:p>
      <w:pPr>
        <w:tabs>
          <w:tab w:pos="490" w:val="left"/>
        </w:tabs>
        <w:spacing w:after="60"/>
        <w:ind w:left="490" w:hanging="490"/>
      </w:pPr>
      <w:r>
        <w:rPr>
          <w:b/>
        </w:rPr>
        <w:t>4.</w:t>
      </w:r>
      <w:r>
        <w:tab/>
      </w:r>
      <w:r>
        <w:rPr>
          <w:b w:val="0"/>
          <w:i w:val="0"/>
          <w:vertAlign w:val="superscript"/>
        </w:rPr>
        <w:t>1</w:t>
      </w:r>
      <w:r>
        <w:rPr>
          <w:b w:val="0"/>
          <w:i w:val="0"/>
        </w:rPr>
        <w:t>/</w:t>
      </w:r>
      <w:r>
        <w:rPr>
          <w:b w:val="0"/>
          <w:i w:val="0"/>
          <w:vertAlign w:val="subscript"/>
        </w:rPr>
        <w:t>2</w:t>
      </w:r>
    </w:p>
    <w:p>
      <w:pPr>
        <w:ind w:left="288"/>
      </w:pPr>
      <w:r>
        <w:rPr>
          <w:b/>
          <w:color w:val="173C49"/>
        </w:rPr>
        <w:t>Правильный ответ:</w:t>
      </w:r>
      <w:r>
        <w:br/>
      </w:r>
      <w:r>
        <w:rPr>
          <w:b/>
          <w:i w:val="0"/>
        </w:rPr>
        <w:t xml:space="preserve">1 - </w:t>
      </w:r>
      <w:r>
        <w:rPr>
          <w:b/>
          <w:i w:val="0"/>
          <w:vertAlign w:val="superscript"/>
        </w:rPr>
        <w:t>2</w:t>
      </w:r>
      <w:r>
        <w:rPr>
          <w:b/>
          <w:i w:val="0"/>
        </w:rPr>
        <w:t>/</w:t>
      </w:r>
      <w:r>
        <w:rPr>
          <w:b/>
          <w:i w:val="0"/>
          <w:vertAlign w:val="subscript"/>
        </w:rPr>
        <w:t>3</w:t>
      </w:r>
    </w:p>
    <w:p>
      <w:pPr>
        <w:spacing w:after="58"/>
      </w:pPr>
      <w:r>
        <w:rPr>
          <w:b w:val="0"/>
          <w:i w:val="0"/>
        </w:rPr>
        <w:t>У детей младше 1 года доза химиопрепаратов пересчитывается следующим образом:</w:t>
      </w:r>
    </w:p>
    <w:p>
      <w:pPr>
        <w:spacing w:after="58"/>
      </w:pPr>
      <w:r>
        <w:rPr>
          <w:b w:val="0"/>
          <w:i w:val="0"/>
        </w:rPr>
        <w:t>За основу берется расчетная доза на 1 м</w:t>
      </w:r>
      <w:r>
        <w:rPr>
          <w:b w:val="0"/>
          <w:i w:val="0"/>
          <w:vertAlign w:val="superscript"/>
        </w:rPr>
        <w:t>2</w:t>
      </w:r>
      <w:r>
        <w:rPr>
          <w:b w:val="0"/>
          <w:i w:val="0"/>
        </w:rPr>
        <w:t xml:space="preserve"> поверхности тела. У детей младше 6 месяцев используется </w:t>
      </w:r>
      <w:r>
        <w:rPr>
          <w:b w:val="0"/>
          <w:i w:val="0"/>
          <w:vertAlign w:val="superscript"/>
        </w:rPr>
        <w:t>2</w:t>
      </w:r>
      <w:r>
        <w:rPr>
          <w:b w:val="0"/>
          <w:i w:val="0"/>
        </w:rPr>
        <w:t>/</w:t>
      </w:r>
      <w:r>
        <w:rPr>
          <w:b w:val="0"/>
          <w:i w:val="0"/>
          <w:vertAlign w:val="subscript"/>
        </w:rPr>
        <w:t>3</w:t>
      </w:r>
      <w:r>
        <w:rPr>
          <w:b w:val="0"/>
          <w:i w:val="0"/>
        </w:rPr>
        <w:t xml:space="preserve"> расчетной дозы; старше 6 месяцев – ¾ от расчетной дозы</w:t>
      </w:r>
    </w:p>
    <w:p>
      <w:pPr>
        <w:spacing w:after="58"/>
      </w:pPr>
      <w:hyperlink r:id="rId22">
        <w:r>
          <w:rPr>
            <w:color w:val="173C49"/>
            <w:u w:val="single"/>
          </w:rPr>
          <w:t xml:space="preserve">Клинические рекомендации Минздрава России. Острый лимфобластный лейкоз, 2024 г.</w:t>
        </w:r>
      </w:hyperlink>
    </w:p>
    <w:p>
      <w:pPr>
        <w:pStyle w:val="Heading3"/>
        <w:keepNext/>
      </w:pPr>
      <w:r>
        <w:rPr>
          <w:b/>
          <w:color w:val="173C49"/>
        </w:rPr>
        <w:t>Вопрос 9.</w:t>
      </w:r>
    </w:p>
    <w:p>
      <w:pPr>
        <w:keepNext/>
      </w:pPr>
      <w:r>
        <w:rPr>
          <w:b w:val="0"/>
          <w:i w:val="0"/>
        </w:rPr>
        <w:t>Перерасчет площади поверхности тела при лечении ОЛЛ необходимо проводить</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перед началом каждого терапевтического элемента</w:t>
      </w:r>
    </w:p>
    <w:p>
      <w:pPr>
        <w:tabs>
          <w:tab w:pos="490" w:val="left"/>
        </w:tabs>
        <w:spacing w:after="60"/>
        <w:ind w:left="490" w:hanging="490"/>
      </w:pPr>
      <w:r>
        <w:rPr>
          <w:b/>
        </w:rPr>
        <w:t>2.</w:t>
      </w:r>
      <w:r>
        <w:tab/>
      </w:r>
      <w:r>
        <w:rPr>
          <w:b w:val="0"/>
          <w:i w:val="0"/>
        </w:rPr>
        <w:t>один раз – перед началом терапии</w:t>
      </w:r>
    </w:p>
    <w:p>
      <w:pPr>
        <w:tabs>
          <w:tab w:pos="490" w:val="left"/>
        </w:tabs>
        <w:spacing w:after="60"/>
        <w:ind w:left="490" w:hanging="490"/>
      </w:pPr>
      <w:r>
        <w:rPr>
          <w:b/>
        </w:rPr>
        <w:t>3.</w:t>
      </w:r>
      <w:r>
        <w:tab/>
      </w:r>
      <w:r>
        <w:rPr>
          <w:b w:val="0"/>
          <w:i w:val="0"/>
        </w:rPr>
        <w:t>еженедельно</w:t>
      </w:r>
    </w:p>
    <w:p>
      <w:pPr>
        <w:tabs>
          <w:tab w:pos="490" w:val="left"/>
        </w:tabs>
        <w:spacing w:after="60"/>
        <w:ind w:left="490" w:hanging="490"/>
      </w:pPr>
      <w:r>
        <w:rPr>
          <w:b/>
        </w:rPr>
        <w:t>4.</w:t>
      </w:r>
      <w:r>
        <w:tab/>
      </w:r>
      <w:r>
        <w:rPr>
          <w:b w:val="0"/>
          <w:i w:val="0"/>
        </w:rPr>
        <w:t>1 раз в месяц</w:t>
      </w:r>
    </w:p>
    <w:p>
      <w:pPr>
        <w:ind w:left="288"/>
      </w:pPr>
      <w:r>
        <w:rPr>
          <w:b/>
          <w:color w:val="173C49"/>
        </w:rPr>
        <w:t>Правильный ответ:</w:t>
      </w:r>
      <w:r>
        <w:br/>
      </w:r>
      <w:r>
        <w:rPr>
          <w:b/>
          <w:i w:val="0"/>
        </w:rPr>
        <w:t>1 - перед началом каждого терапевтического элемента</w:t>
      </w:r>
    </w:p>
    <w:p>
      <w:pPr>
        <w:spacing w:after="58"/>
      </w:pPr>
      <w:r>
        <w:rPr>
          <w:b w:val="0"/>
          <w:i w:val="0"/>
        </w:rPr>
        <w:t>Площадь поверхности тела для расчета доз лекарственных препаратов пересчитывается заново перед началом каждой фазы терапии.</w:t>
      </w:r>
    </w:p>
    <w:p>
      <w:pPr>
        <w:spacing w:after="58"/>
      </w:pPr>
      <w:hyperlink r:id="rId22">
        <w:r>
          <w:rPr>
            <w:color w:val="173C49"/>
            <w:u w:val="single"/>
          </w:rPr>
          <w:t xml:space="preserve">Клинические рекомендации Минздрава России. Острый лимфобластный лейкоз, 2024 г.</w:t>
        </w:r>
      </w:hyperlink>
    </w:p>
    <w:p>
      <w:pPr>
        <w:spacing w:after="58"/>
      </w:pPr>
      <w:hyperlink r:id="rId35">
        <w:r>
          <w:rPr>
            <w:color w:val="173C49"/>
            <w:u w:val="single"/>
          </w:rPr>
          <w:t xml:space="preserve">(1)</w:t>
        </w:r>
      </w:hyperlink>
    </w:p>
    <w:p>
      <w:pPr>
        <w:pStyle w:val="Heading3"/>
        <w:keepNext/>
      </w:pPr>
      <w:r>
        <w:rPr>
          <w:b/>
          <w:color w:val="173C49"/>
        </w:rPr>
        <w:t>Вопрос 10.</w:t>
      </w:r>
    </w:p>
    <w:p>
      <w:pPr>
        <w:keepNext/>
      </w:pPr>
      <w:r>
        <w:rPr>
          <w:b w:val="0"/>
          <w:i w:val="0"/>
        </w:rPr>
        <w:t>Терапию глюкокортикостероидами необходимо начать с</w:t>
      </w:r>
    </w:p>
    <w:p>
      <w:pPr>
        <w:tabs>
          <w:tab w:pos="490" w:val="left"/>
        </w:tabs>
        <w:spacing w:after="60"/>
        <w:ind w:left="490" w:hanging="490"/>
      </w:pPr>
      <w:r>
        <w:rPr>
          <w:b/>
        </w:rPr>
        <w:t>1.</w:t>
      </w:r>
      <w:r>
        <w:tab/>
      </w:r>
      <w:r>
        <w:rPr>
          <w:b w:val="0"/>
          <w:i w:val="0"/>
          <w:vertAlign w:val="superscript"/>
        </w:rPr>
        <w:t>1</w:t>
      </w:r>
      <w:r>
        <w:rPr>
          <w:b w:val="0"/>
          <w:i w:val="0"/>
        </w:rPr>
        <w:t>/</w:t>
      </w:r>
      <w:r>
        <w:rPr>
          <w:b w:val="0"/>
          <w:i w:val="0"/>
          <w:vertAlign w:val="subscript"/>
        </w:rPr>
        <w:t>2</w:t>
      </w:r>
      <w:r>
        <w:rPr>
          <w:b w:val="0"/>
          <w:i w:val="0"/>
        </w:rPr>
        <w:t xml:space="preserve"> от суточной дозы</w:t>
      </w:r>
    </w:p>
    <w:p>
      <w:pPr>
        <w:tabs>
          <w:tab w:pos="490" w:val="left"/>
        </w:tabs>
        <w:spacing w:after="60"/>
        <w:ind w:left="490" w:hanging="490"/>
      </w:pPr>
      <w:r>
        <w:rPr>
          <w:b/>
        </w:rPr>
        <w:t>2.</w:t>
      </w:r>
      <w:r>
        <w:tab/>
      </w:r>
      <w:r>
        <w:rPr>
          <w:b w:val="0"/>
          <w:i w:val="0"/>
        </w:rPr>
        <w:t>полной суточной дозы</w:t>
      </w:r>
    </w:p>
    <w:p>
      <w:pPr>
        <w:tabs>
          <w:tab w:pos="490" w:val="left"/>
        </w:tabs>
        <w:spacing w:after="60"/>
        <w:ind w:left="490" w:hanging="490"/>
      </w:pPr>
      <w:r>
        <w:rPr>
          <w:b/>
        </w:rPr>
        <w:t>3.</w:t>
      </w:r>
      <w:r>
        <w:tab/>
      </w:r>
      <w:r>
        <w:rPr>
          <w:b w:val="0"/>
          <w:i w:val="0"/>
          <w:vertAlign w:val="superscript"/>
        </w:rPr>
        <w:t>1</w:t>
      </w:r>
      <w:r>
        <w:rPr>
          <w:b w:val="0"/>
          <w:i w:val="0"/>
        </w:rPr>
        <w:t>/</w:t>
      </w:r>
      <w:r>
        <w:rPr>
          <w:b w:val="0"/>
          <w:i w:val="0"/>
          <w:vertAlign w:val="subscript"/>
        </w:rPr>
        <w:t>3</w:t>
      </w:r>
      <w:r>
        <w:rPr>
          <w:b w:val="0"/>
          <w:i w:val="0"/>
        </w:rPr>
        <w:t xml:space="preserve"> от суточной дозы</w:t>
      </w:r>
    </w:p>
    <w:p>
      <w:pPr>
        <w:tabs>
          <w:tab w:pos="490" w:val="left"/>
        </w:tabs>
        <w:spacing w:after="60"/>
        <w:ind w:left="490" w:hanging="490"/>
      </w:pPr>
      <w:r>
        <w:drawing>
          <wp:inline xmlns:a="http://schemas.openxmlformats.org/drawingml/2006/main" xmlns:pic="http://schemas.openxmlformats.org/drawingml/2006/picture">
            <wp:extent cx="214884" cy="214884"/>
            <wp:docPr id="17" name="Picture 17"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1"/>
                    <a:stretch>
                      <a:fillRect/>
                    </a:stretch>
                  </pic:blipFill>
                  <pic:spPr>
                    <a:xfrm>
                      <a:off x="0" y="0"/>
                      <a:ext cx="214884" cy="214884"/>
                    </a:xfrm>
                    <a:prstGeom prst="rect"/>
                  </pic:spPr>
                </pic:pic>
              </a:graphicData>
            </a:graphic>
          </wp:inline>
        </w:drawing>
      </w:r>
      <w:r>
        <w:tab/>
      </w:r>
      <w:r>
        <w:rPr>
          <w:b w:val="0"/>
          <w:i w:val="0"/>
          <w:vertAlign w:val="superscript"/>
        </w:rPr>
        <w:t>1</w:t>
      </w:r>
      <w:r>
        <w:rPr>
          <w:b w:val="0"/>
          <w:i w:val="0"/>
        </w:rPr>
        <w:t>/</w:t>
      </w:r>
      <w:r>
        <w:rPr>
          <w:b w:val="0"/>
          <w:i w:val="0"/>
          <w:vertAlign w:val="subscript"/>
        </w:rPr>
        <w:t>10</w:t>
      </w:r>
      <w:r>
        <w:rPr>
          <w:b w:val="0"/>
          <w:i w:val="0"/>
        </w:rPr>
        <w:t xml:space="preserve"> – </w:t>
      </w:r>
      <w:r>
        <w:rPr>
          <w:b w:val="0"/>
          <w:i w:val="0"/>
          <w:vertAlign w:val="superscript"/>
        </w:rPr>
        <w:t>1</w:t>
      </w:r>
      <w:r>
        <w:rPr>
          <w:b w:val="0"/>
          <w:i w:val="0"/>
        </w:rPr>
        <w:t>/</w:t>
      </w:r>
      <w:r>
        <w:rPr>
          <w:b w:val="0"/>
          <w:i w:val="0"/>
          <w:vertAlign w:val="subscript"/>
        </w:rPr>
        <w:t>8</w:t>
      </w:r>
      <w:r>
        <w:rPr>
          <w:b w:val="0"/>
          <w:i w:val="0"/>
        </w:rPr>
        <w:t xml:space="preserve"> от суточной дозы</w:t>
      </w:r>
    </w:p>
    <w:p>
      <w:pPr>
        <w:ind w:left="288"/>
      </w:pPr>
      <w:r>
        <w:rPr>
          <w:b/>
          <w:color w:val="173C49"/>
        </w:rPr>
        <w:t>Правильный ответ:</w:t>
      </w:r>
      <w:r>
        <w:br/>
      </w:r>
      <w:r>
        <w:rPr>
          <w:b/>
          <w:i w:val="0"/>
        </w:rPr>
        <w:t xml:space="preserve">4 - </w:t>
      </w:r>
      <w:r>
        <w:rPr>
          <w:b/>
          <w:i w:val="0"/>
          <w:vertAlign w:val="superscript"/>
        </w:rPr>
        <w:t>1</w:t>
      </w:r>
      <w:r>
        <w:rPr>
          <w:b/>
          <w:i w:val="0"/>
        </w:rPr>
        <w:t>/</w:t>
      </w:r>
      <w:r>
        <w:rPr>
          <w:b/>
          <w:i w:val="0"/>
          <w:vertAlign w:val="subscript"/>
        </w:rPr>
        <w:t>10</w:t>
      </w:r>
      <w:r>
        <w:rPr>
          <w:b/>
          <w:i w:val="0"/>
        </w:rPr>
        <w:t xml:space="preserve"> – </w:t>
      </w:r>
      <w:r>
        <w:rPr>
          <w:b/>
          <w:i w:val="0"/>
          <w:vertAlign w:val="superscript"/>
        </w:rPr>
        <w:t>1</w:t>
      </w:r>
      <w:r>
        <w:rPr>
          <w:b/>
          <w:i w:val="0"/>
        </w:rPr>
        <w:t>/</w:t>
      </w:r>
      <w:r>
        <w:rPr>
          <w:b/>
          <w:i w:val="0"/>
          <w:vertAlign w:val="subscript"/>
        </w:rPr>
        <w:t>8</w:t>
      </w:r>
      <w:r>
        <w:rPr>
          <w:b/>
          <w:i w:val="0"/>
        </w:rPr>
        <w:t xml:space="preserve"> от суточной дозы</w:t>
      </w:r>
    </w:p>
    <w:p>
      <w:pPr>
        <w:spacing w:after="58"/>
      </w:pPr>
      <w:r>
        <w:rPr>
          <w:b w:val="0"/>
          <w:i w:val="0"/>
        </w:rPr>
        <w:t>При наличии большой массы лейкемических клеток (в данном случае лейкоциты в ОАК ‒ 250×10</w:t>
      </w:r>
      <w:r>
        <w:rPr>
          <w:b w:val="0"/>
          <w:i w:val="0"/>
          <w:vertAlign w:val="superscript"/>
        </w:rPr>
        <w:t>9</w:t>
      </w:r>
      <w:r>
        <w:rPr>
          <w:b w:val="0"/>
          <w:i w:val="0"/>
        </w:rPr>
        <w:t xml:space="preserve">/л) первая доза глюкокортикостероидов для профилактики синдрома острого лизиса опухоли (СОЛ) должна составлять </w:t>
      </w:r>
      <w:r>
        <w:rPr>
          <w:b w:val="0"/>
          <w:i w:val="0"/>
          <w:vertAlign w:val="superscript"/>
        </w:rPr>
        <w:t>1</w:t>
      </w:r>
      <w:r>
        <w:rPr>
          <w:b w:val="0"/>
          <w:i w:val="0"/>
        </w:rPr>
        <w:t>/</w:t>
      </w:r>
      <w:r>
        <w:rPr>
          <w:b w:val="0"/>
          <w:i w:val="0"/>
          <w:vertAlign w:val="subscript"/>
        </w:rPr>
        <w:t>10</w:t>
      </w:r>
      <w:r>
        <w:rPr>
          <w:b w:val="0"/>
          <w:i w:val="0"/>
        </w:rPr>
        <w:t xml:space="preserve"> – </w:t>
      </w:r>
      <w:r>
        <w:rPr>
          <w:b w:val="0"/>
          <w:i w:val="0"/>
          <w:vertAlign w:val="superscript"/>
        </w:rPr>
        <w:t>1</w:t>
      </w:r>
      <w:r>
        <w:rPr>
          <w:b w:val="0"/>
          <w:i w:val="0"/>
        </w:rPr>
        <w:t>/</w:t>
      </w:r>
      <w:r>
        <w:rPr>
          <w:b w:val="0"/>
          <w:i w:val="0"/>
          <w:vertAlign w:val="subscript"/>
        </w:rPr>
        <w:t>8</w:t>
      </w:r>
      <w:r>
        <w:rPr>
          <w:b w:val="0"/>
          <w:i w:val="0"/>
        </w:rPr>
        <w:t xml:space="preserve"> от суточной дозы.</w:t>
      </w:r>
    </w:p>
    <w:p>
      <w:pPr>
        <w:spacing w:after="58"/>
      </w:pPr>
      <w:hyperlink r:id="rId22">
        <w:r>
          <w:rPr>
            <w:color w:val="173C49"/>
            <w:u w:val="single"/>
          </w:rPr>
          <w:t xml:space="preserve">Клинические рекомендации Минздрава России. Острый лимфобластный лейкоз, 2024 г.</w:t>
        </w:r>
      </w:hyperlink>
    </w:p>
    <w:p>
      <w:pPr>
        <w:pStyle w:val="Heading2"/>
      </w:pPr>
      <w:r>
        <w:t>4. Вариатив</w:t>
      </w:r>
    </w:p>
    <w:p>
      <w:pPr>
        <w:pStyle w:val="Heading3"/>
        <w:keepNext/>
      </w:pPr>
      <w:r>
        <w:rPr>
          <w:b/>
          <w:color w:val="173C49"/>
        </w:rPr>
        <w:t>Вопрос 11.</w:t>
      </w:r>
    </w:p>
    <w:p>
      <w:pPr>
        <w:keepNext/>
      </w:pPr>
      <w:r>
        <w:rPr>
          <w:b w:val="0"/>
          <w:i w:val="0"/>
        </w:rPr>
        <w:t>Каждые 12 часов в первые дни терапии необходимо контролировать</w:t>
      </w:r>
    </w:p>
    <w:p>
      <w:pPr>
        <w:tabs>
          <w:tab w:pos="490" w:val="left"/>
        </w:tabs>
        <w:spacing w:after="60"/>
        <w:ind w:left="490" w:hanging="490"/>
      </w:pPr>
      <w:r>
        <w:rPr>
          <w:b/>
        </w:rPr>
        <w:t>1.</w:t>
      </w:r>
      <w:r>
        <w:tab/>
      </w:r>
      <w:r>
        <w:rPr>
          <w:b w:val="0"/>
          <w:i w:val="0"/>
        </w:rPr>
        <w:t>общий анализ мочи</w:t>
      </w:r>
    </w:p>
    <w:p>
      <w:pPr>
        <w:tabs>
          <w:tab w:pos="490" w:val="left"/>
        </w:tabs>
        <w:spacing w:after="60"/>
        <w:ind w:left="490" w:hanging="490"/>
      </w:pPr>
      <w:r>
        <w:drawing>
          <wp:inline xmlns:a="http://schemas.openxmlformats.org/drawingml/2006/main" xmlns:pic="http://schemas.openxmlformats.org/drawingml/2006/picture">
            <wp:extent cx="214884" cy="214884"/>
            <wp:docPr id="18" name="Picture 18"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32"/>
                    <a:stretch>
                      <a:fillRect/>
                    </a:stretch>
                  </pic:blipFill>
                  <pic:spPr>
                    <a:xfrm>
                      <a:off x="0" y="0"/>
                      <a:ext cx="214884" cy="214884"/>
                    </a:xfrm>
                    <a:prstGeom prst="rect"/>
                  </pic:spPr>
                </pic:pic>
              </a:graphicData>
            </a:graphic>
          </wp:inline>
        </w:drawing>
      </w:r>
      <w:r>
        <w:tab/>
      </w:r>
      <w:r>
        <w:rPr>
          <w:b w:val="0"/>
          <w:i w:val="0"/>
        </w:rPr>
        <w:t>основные биохимические показатели – мочевину, креатинин, электролиты</w:t>
      </w:r>
    </w:p>
    <w:p>
      <w:pPr>
        <w:tabs>
          <w:tab w:pos="490" w:val="left"/>
        </w:tabs>
        <w:spacing w:after="60"/>
        <w:ind w:left="490" w:hanging="490"/>
      </w:pPr>
      <w:r>
        <w:rPr>
          <w:b/>
        </w:rPr>
        <w:t>3.</w:t>
      </w:r>
      <w:r>
        <w:tab/>
      </w:r>
      <w:r>
        <w:rPr>
          <w:b w:val="0"/>
          <w:i w:val="0"/>
        </w:rPr>
        <w:t>показатели ЭКГ</w:t>
      </w:r>
    </w:p>
    <w:p>
      <w:pPr>
        <w:tabs>
          <w:tab w:pos="490" w:val="left"/>
        </w:tabs>
        <w:spacing w:after="60"/>
        <w:ind w:left="490" w:hanging="490"/>
      </w:pPr>
      <w:r>
        <w:rPr>
          <w:b/>
        </w:rPr>
        <w:t>4.</w:t>
      </w:r>
      <w:r>
        <w:tab/>
      </w:r>
      <w:r>
        <w:rPr>
          <w:b w:val="0"/>
          <w:i w:val="0"/>
        </w:rPr>
        <w:t>показатели коагулограммы</w:t>
      </w:r>
    </w:p>
    <w:p>
      <w:pPr>
        <w:ind w:left="288"/>
      </w:pPr>
      <w:r>
        <w:rPr>
          <w:b/>
          <w:color w:val="173C49"/>
        </w:rPr>
        <w:t>Правильный ответ:</w:t>
      </w:r>
      <w:r>
        <w:br/>
      </w:r>
      <w:r>
        <w:rPr>
          <w:b/>
          <w:i w:val="0"/>
        </w:rPr>
        <w:t>2 - основные биохимические показатели – мочевину, креатинин, электролиты</w:t>
      </w:r>
    </w:p>
    <w:p>
      <w:pPr>
        <w:spacing w:after="58"/>
      </w:pPr>
      <w:r>
        <w:rPr>
          <w:b w:val="0"/>
          <w:i w:val="0"/>
        </w:rPr>
        <w:t>В первые дни терапии (когда имеется большая масса опухоли), во избежание осложнений (развития синдрома лизиса опухоли), необходимо проводить тщательный контроль общего состояния пациента, динамики уровня лейкоцитов, диуреза каждые 6 ч., мочевины, креатинина и электролитов – каждые 12 ч с возможной коррекцией терапии.</w:t>
      </w:r>
    </w:p>
    <w:p>
      <w:pPr>
        <w:spacing w:after="58"/>
      </w:pPr>
      <w:hyperlink r:id="rId22">
        <w:r>
          <w:rPr>
            <w:color w:val="173C49"/>
            <w:u w:val="single"/>
          </w:rPr>
          <w:t xml:space="preserve">Клинические рекомендации Минздрава России. Острый лимфобластный лейкоз, 2024 г.</w:t>
        </w:r>
      </w:hyperlink>
    </w:p>
    <w:p>
      <w:pPr>
        <w:spacing w:after="58"/>
      </w:pPr>
      <w:hyperlink r:id="rId36">
        <w:r>
          <w:rPr>
            <w:color w:val="173C49"/>
            <w:u w:val="single"/>
          </w:rPr>
          <w:t xml:space="preserve">(1)</w:t>
        </w:r>
      </w:hyperlink>
    </w:p>
    <w:p>
      <w:pPr>
        <w:pStyle w:val="Heading3"/>
        <w:keepNext/>
      </w:pPr>
      <w:r>
        <w:rPr>
          <w:b/>
          <w:color w:val="173C49"/>
        </w:rPr>
        <w:t>Вопрос 12.</w:t>
      </w:r>
    </w:p>
    <w:p>
      <w:pPr>
        <w:keepNext/>
      </w:pPr>
      <w:r>
        <w:rPr>
          <w:b w:val="0"/>
          <w:i w:val="0"/>
        </w:rPr>
        <w:t>В первые дни терапии во избежание повреждения почек продуктами распада клеток необходимо поддерживать рН мочи</w:t>
      </w:r>
    </w:p>
    <w:p>
      <w:pPr>
        <w:tabs>
          <w:tab w:pos="490" w:val="left"/>
        </w:tabs>
        <w:spacing w:after="60"/>
        <w:ind w:left="490" w:hanging="490"/>
      </w:pPr>
      <w:r>
        <w:rPr>
          <w:b/>
        </w:rPr>
        <w:t>1.</w:t>
      </w:r>
      <w:r>
        <w:tab/>
      </w:r>
      <w:r>
        <w:rPr>
          <w:b w:val="0"/>
          <w:i w:val="0"/>
        </w:rPr>
        <w:t>щелочным</w:t>
      </w:r>
    </w:p>
    <w:p>
      <w:pPr>
        <w:tabs>
          <w:tab w:pos="490" w:val="left"/>
        </w:tabs>
        <w:spacing w:after="60"/>
        <w:ind w:left="490" w:hanging="490"/>
      </w:pPr>
      <w:r>
        <w:rPr>
          <w:b/>
        </w:rPr>
        <w:t>2.</w:t>
      </w:r>
      <w:r>
        <w:tab/>
      </w:r>
      <w:r>
        <w:rPr>
          <w:b w:val="0"/>
          <w:i w:val="0"/>
        </w:rPr>
        <w:t>кислым</w:t>
      </w:r>
    </w:p>
    <w:p>
      <w:pPr>
        <w:tabs>
          <w:tab w:pos="490" w:val="left"/>
        </w:tabs>
        <w:spacing w:after="60"/>
        <w:ind w:left="490" w:hanging="490"/>
      </w:pPr>
      <w:r>
        <w:rPr>
          <w:b/>
        </w:rPr>
        <w:t>3.</w:t>
      </w:r>
      <w:r>
        <w:tab/>
      </w:r>
      <w:r>
        <w:rPr>
          <w:b w:val="0"/>
          <w:i w:val="0"/>
        </w:rPr>
        <w:t>нейтральным или слабокислым</w:t>
      </w:r>
    </w:p>
    <w:p>
      <w:pPr>
        <w:tabs>
          <w:tab w:pos="490" w:val="left"/>
        </w:tabs>
        <w:spacing w:after="60"/>
        <w:ind w:left="490" w:hanging="490"/>
      </w:pPr>
      <w:r>
        <w:drawing>
          <wp:inline xmlns:a="http://schemas.openxmlformats.org/drawingml/2006/main" xmlns:pic="http://schemas.openxmlformats.org/drawingml/2006/picture">
            <wp:extent cx="214884" cy="214884"/>
            <wp:docPr id="19" name="Picture 1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1"/>
                    <a:stretch>
                      <a:fillRect/>
                    </a:stretch>
                  </pic:blipFill>
                  <pic:spPr>
                    <a:xfrm>
                      <a:off x="0" y="0"/>
                      <a:ext cx="214884" cy="214884"/>
                    </a:xfrm>
                    <a:prstGeom prst="rect"/>
                  </pic:spPr>
                </pic:pic>
              </a:graphicData>
            </a:graphic>
          </wp:inline>
        </w:drawing>
      </w:r>
      <w:r>
        <w:tab/>
      </w:r>
      <w:r>
        <w:rPr>
          <w:b w:val="0"/>
          <w:i w:val="0"/>
        </w:rPr>
        <w:t>нейтральным или слабощелочным</w:t>
      </w:r>
    </w:p>
    <w:p>
      <w:pPr>
        <w:ind w:left="288"/>
      </w:pPr>
      <w:r>
        <w:rPr>
          <w:b/>
          <w:color w:val="173C49"/>
        </w:rPr>
        <w:t>Правильный ответ:</w:t>
      </w:r>
      <w:r>
        <w:br/>
      </w:r>
      <w:r>
        <w:rPr>
          <w:b/>
          <w:i w:val="0"/>
        </w:rPr>
        <w:t>4 - нейтральным или слабощелочным</w:t>
      </w:r>
    </w:p>
    <w:p>
      <w:pPr>
        <w:spacing w:after="58"/>
      </w:pPr>
      <w:r>
        <w:rPr>
          <w:b w:val="0"/>
          <w:i w:val="0"/>
        </w:rPr>
        <w:t>Учитывая более низкую растворимость мочевой кислоты в кислой среде, необходимо обеспечить поддержание нейтрального или слабощелочного рН мочи. Но щелочная среда, напротив, благоприятствует выпадению в осадок фосфата кальция. Кроме того, при pH&gt;7,5 может кристаллизоваться гипоксантин. Следовательно, перезащелачивание мочи тоже может благоприятствовать выпадению продуктов клеточного распада.</w:t>
      </w:r>
    </w:p>
    <w:p>
      <w:pPr>
        <w:spacing w:after="58"/>
      </w:pPr>
      <w:hyperlink r:id="rId22">
        <w:r>
          <w:rPr>
            <w:color w:val="173C49"/>
            <w:u w:val="single"/>
          </w:rPr>
          <w:t xml:space="preserve">Клинические рекомендации Минздрава России. Острый лимфобластный лейкоз, 2024 г.</w:t>
        </w:r>
      </w:hyperlink>
    </w:p>
    <w:p>
      <w:pPr>
        <w:spacing w:after="58"/>
      </w:pPr>
      <w:hyperlink r:id="rId37">
        <w:r>
          <w:rPr>
            <w:color w:val="173C49"/>
            <w:u w:val="single"/>
          </w:rPr>
          <w:t xml:space="preserve">(1)</w:t>
        </w:r>
      </w:hyperlink>
    </w:p>
    <w:p>
      <w:r>
        <w:br w:type="page"/>
      </w:r>
    </w:p>
    <w:p>
      <w:pPr>
        <w:pStyle w:val="Heading1"/>
      </w:pPr>
      <w:bookmarkStart w:id="20" w:name="case_0002"/>
      <w:r>
        <w:t>Ситуационная задача 0002</w:t>
      </w:r>
      <w:bookmarkEnd w:id="20"/>
    </w:p>
    <w:p>
      <w:r>
        <w:rPr>
          <w:b/>
        </w:rPr>
        <w:t xml:space="preserve">Образование: </w:t>
      </w:r>
      <w:r>
        <w:t>Высшее образование</w:t>
      </w:r>
      <w:r>
        <w:rPr>
          <w:b/>
        </w:rPr>
        <w:t xml:space="preserve"> | Специальность: </w:t>
      </w:r>
      <w:r>
        <w:t>Детская онкология-гематология</w:t>
      </w:r>
    </w:p>
    <w:p>
      <w:pPr>
        <w:pStyle w:val="Heading2"/>
      </w:pPr>
      <w:r>
        <w:t>1. УСЛОВИЕ СИТУАЦИОННОЙ ЗАДАЧИ</w:t>
      </w:r>
    </w:p>
    <w:p>
      <w:pPr>
        <w:pStyle w:val="Heading3"/>
      </w:pPr>
      <w:r>
        <w:t>1.1. Ситуация</w:t>
      </w:r>
    </w:p>
    <w:p>
      <w:pPr>
        <w:spacing w:after="58"/>
      </w:pPr>
      <w:r>
        <w:rPr>
          <w:b w:val="0"/>
          <w:i w:val="0"/>
        </w:rPr>
        <w:t>Девочка 15 лет госпитализирована в хирургический стационар.</w:t>
      </w:r>
    </w:p>
    <w:p>
      <w:pPr>
        <w:pStyle w:val="Heading3"/>
      </w:pPr>
      <w:r>
        <w:t>1.2. Жалобы</w:t>
      </w:r>
    </w:p>
    <w:p>
      <w:pPr>
        <w:spacing w:after="58"/>
      </w:pPr>
      <w:r>
        <w:rPr>
          <w:b w:val="0"/>
          <w:i w:val="0"/>
        </w:rPr>
        <w:t>на боли по задней поверхности левого бедра, иррадиирующие в голень.</w:t>
      </w:r>
    </w:p>
    <w:p>
      <w:pPr>
        <w:pStyle w:val="Heading3"/>
      </w:pPr>
      <w:r>
        <w:t>1.3. Анамнез заболевания</w:t>
      </w:r>
    </w:p>
    <w:p>
      <w:pPr>
        <w:spacing w:after="58"/>
      </w:pPr>
      <w:r>
        <w:rPr>
          <w:b w:val="0"/>
          <w:i w:val="0"/>
        </w:rPr>
        <w:t>Три месяца назад появились боли в задне-латеральной поверхности левого бедра, иррадиирующие в верхнюю треть голени. По месту жительства выполнена рентгенография костей таза и нижних конечностей - без патологии, по данным МРТ протрузия L-4. Получила курс физиотерапии, лечебной физкультуры и массажа с кратковременным положительным эффектом. Месяц назад отмечено усиление болевого синдрома, получила курс НПВС без эффекта.</w:t>
      </w:r>
    </w:p>
    <w:p>
      <w:pPr>
        <w:pStyle w:val="Heading3"/>
      </w:pPr>
      <w:r>
        <w:t>1.4. Анамнез жизни</w:t>
      </w:r>
    </w:p>
    <w:p>
      <w:pPr>
        <w:spacing w:after="58"/>
      </w:pPr>
      <w:r>
        <w:rPr>
          <w:b w:val="0"/>
          <w:i w:val="0"/>
        </w:rPr>
        <w:t>* Ребенок от 1-й беременности, протекавшей без осложнений. От 1-х самостоятельных срочных родов. Вес при рождении 3540 г, длина тела 53 см. Ранее развитие по возрасту. На диспансерном учете не состоит. Травмы и операции отрицает. Вакцинирована по национальному календарю.</w:t>
      </w:r>
    </w:p>
    <w:p>
      <w:pPr>
        <w:spacing w:after="58"/>
      </w:pPr>
      <w:r>
        <w:rPr>
          <w:b w:val="0"/>
          <w:i w:val="0"/>
        </w:rPr>
        <w:t>* Перенесла: ОРВИ, ветряную оспу.</w:t>
      </w:r>
    </w:p>
    <w:p>
      <w:pPr>
        <w:pStyle w:val="Heading3"/>
      </w:pPr>
      <w:r>
        <w:t>1.5. Объективный статус</w:t>
      </w:r>
    </w:p>
    <w:p>
      <w:pPr>
        <w:spacing w:after="58"/>
      </w:pPr>
      <w:r>
        <w:rPr>
          <w:b w:val="0"/>
          <w:i w:val="0"/>
        </w:rPr>
        <w:t>Т – 36,6°С. АД=112/65 мм рт. ст. Пульс 79 уд/мин. ЧДД=18 в мин. Состояние стабильное. Сознание ясное. Кожные покровы бледно-розовые, чистые. Геморрагический синдром не выражен. Костно-мышечная система без видимой патологии. Ограничение активных движений в левом тазобедренном суставе. Видимые слизистые ротовой полости розовые, влажные, чистые. Сердечно-легочная деятельность удовлетворительная. Тошноты, рвоты нет. Живот при пальпации мягкий, безболезненный. Мочеотделение самостоятельное, безболезненное. Моча светло-желтая, прозрачная. Стул регулярный, без патологических примесей.</w:t>
      </w:r>
    </w:p>
    <w:p>
      <w:pPr>
        <w:pStyle w:val="Heading2"/>
      </w:pPr>
      <w:r>
        <w:t>1. План обследования</w:t>
      </w:r>
    </w:p>
    <w:p>
      <w:pPr>
        <w:pStyle w:val="Heading3"/>
        <w:keepNext/>
      </w:pPr>
      <w:r>
        <w:rPr>
          <w:b/>
          <w:color w:val="173C49"/>
        </w:rPr>
        <w:t>Вопрос 1.</w:t>
      </w:r>
    </w:p>
    <w:p>
      <w:pPr>
        <w:keepNext/>
      </w:pPr>
      <w:r>
        <w:rPr>
          <w:b w:val="0"/>
          <w:i w:val="0"/>
        </w:rPr>
        <w:t>К необходимым в данной ситуации лабораторным методам исследования относятся</w:t>
      </w:r>
    </w:p>
    <w:p>
      <w:pPr>
        <w:tabs>
          <w:tab w:pos="490" w:val="left"/>
        </w:tabs>
        <w:spacing w:after="60"/>
        <w:ind w:left="490" w:hanging="490"/>
      </w:pPr>
      <w:r>
        <w:rPr>
          <w:b/>
        </w:rPr>
        <w:t>1.</w:t>
      </w:r>
      <w:r>
        <w:tab/>
      </w:r>
      <w:r>
        <w:rPr>
          <w:b w:val="0"/>
          <w:i w:val="0"/>
        </w:rPr>
        <w:t>бактериологический посев кала</w:t>
      </w:r>
    </w:p>
    <w:p>
      <w:pPr>
        <w:tabs>
          <w:tab w:pos="490" w:val="left"/>
        </w:tabs>
        <w:spacing w:after="60"/>
        <w:ind w:left="490" w:hanging="490"/>
      </w:pPr>
      <w:r>
        <w:rPr>
          <w:b/>
        </w:rPr>
        <w:t>2.</w:t>
      </w:r>
      <w:r>
        <w:tab/>
      </w:r>
      <w:r>
        <w:rPr>
          <w:b w:val="0"/>
          <w:i w:val="0"/>
        </w:rPr>
        <w:t>коагулограмма</w:t>
      </w:r>
    </w:p>
    <w:p>
      <w:pPr>
        <w:tabs>
          <w:tab w:pos="490" w:val="left"/>
        </w:tabs>
        <w:spacing w:after="60"/>
        <w:ind w:left="490" w:hanging="490"/>
      </w:pPr>
      <w:r>
        <w:rPr>
          <w:b/>
        </w:rPr>
        <w:t>3.</w:t>
      </w:r>
      <w:r>
        <w:tab/>
      </w:r>
      <w:r>
        <w:rPr>
          <w:b w:val="0"/>
          <w:i w:val="0"/>
        </w:rPr>
        <w:t>исследование уровней АФП и НСЕ в крови</w:t>
      </w:r>
    </w:p>
    <w:p>
      <w:pPr>
        <w:tabs>
          <w:tab w:pos="490" w:val="left"/>
        </w:tabs>
        <w:spacing w:after="60"/>
        <w:ind w:left="490" w:hanging="490"/>
      </w:pPr>
      <w:r>
        <w:drawing>
          <wp:inline xmlns:a="http://schemas.openxmlformats.org/drawingml/2006/main" xmlns:pic="http://schemas.openxmlformats.org/drawingml/2006/picture">
            <wp:extent cx="214884" cy="214884"/>
            <wp:docPr id="21" name="Picture 21"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1"/>
                    <a:stretch>
                      <a:fillRect/>
                    </a:stretch>
                  </pic:blipFill>
                  <pic:spPr>
                    <a:xfrm>
                      <a:off x="0" y="0"/>
                      <a:ext cx="214884" cy="214884"/>
                    </a:xfrm>
                    <a:prstGeom prst="rect"/>
                  </pic:spPr>
                </pic:pic>
              </a:graphicData>
            </a:graphic>
          </wp:inline>
        </w:drawing>
      </w:r>
      <w:r>
        <w:tab/>
      </w:r>
      <w:r>
        <w:rPr>
          <w:b w:val="0"/>
          <w:i w:val="0"/>
        </w:rPr>
        <w:t>общий анализ крови развернутый</w:t>
      </w:r>
    </w:p>
    <w:p>
      <w:pPr>
        <w:tabs>
          <w:tab w:pos="490" w:val="left"/>
        </w:tabs>
        <w:spacing w:after="60"/>
        <w:ind w:left="490" w:hanging="490"/>
      </w:pPr>
      <w:r>
        <w:drawing>
          <wp:inline xmlns:a="http://schemas.openxmlformats.org/drawingml/2006/main" xmlns:pic="http://schemas.openxmlformats.org/drawingml/2006/picture">
            <wp:extent cx="214884" cy="214884"/>
            <wp:docPr id="22" name="Picture 22" title="Правильный вариант 5" descr="Правильный ответ: вариант 5"/>
            <wp:cNvGraphicFramePr>
              <a:graphicFrameLocks noChangeAspect="1"/>
            </wp:cNvGraphicFramePr>
            <a:graphic>
              <a:graphicData uri="http://schemas.openxmlformats.org/drawingml/2006/picture">
                <pic:pic>
                  <pic:nvPicPr>
                    <pic:cNvPr id="0" name="correct-choice-5.png"/>
                    <pic:cNvPicPr/>
                  </pic:nvPicPr>
                  <pic:blipFill>
                    <a:blip r:embed="rId28"/>
                    <a:stretch>
                      <a:fillRect/>
                    </a:stretch>
                  </pic:blipFill>
                  <pic:spPr>
                    <a:xfrm>
                      <a:off x="0" y="0"/>
                      <a:ext cx="214884" cy="214884"/>
                    </a:xfrm>
                    <a:prstGeom prst="rect"/>
                  </pic:spPr>
                </pic:pic>
              </a:graphicData>
            </a:graphic>
          </wp:inline>
        </w:drawing>
      </w:r>
      <w:r>
        <w:tab/>
      </w:r>
      <w:r>
        <w:rPr>
          <w:b w:val="0"/>
          <w:i w:val="0"/>
        </w:rPr>
        <w:t>биохимический анализ крови</w:t>
      </w:r>
    </w:p>
    <w:p>
      <w:pPr>
        <w:ind w:left="288"/>
      </w:pPr>
      <w:r>
        <w:rPr>
          <w:b/>
          <w:color w:val="173C49"/>
        </w:rPr>
        <w:t>Правильные ответы:</w:t>
      </w:r>
      <w:r>
        <w:br/>
      </w:r>
      <w:r>
        <w:rPr>
          <w:b/>
          <w:i w:val="0"/>
        </w:rPr>
        <w:t>4 - общий анализ крови развернутый</w:t>
      </w:r>
      <w:r>
        <w:br/>
      </w:r>
      <w:r>
        <w:rPr>
          <w:b/>
          <w:i w:val="0"/>
        </w:rPr>
        <w:t>5 - биохимический анализ крови</w:t>
      </w:r>
    </w:p>
    <w:p>
      <w:pPr>
        <w:spacing w:after="58"/>
      </w:pPr>
      <w:r>
        <w:rPr>
          <w:b w:val="0"/>
          <w:i w:val="0"/>
        </w:rPr>
        <w:t>Всем пациентам с подозрением на ЗНО кости или установленным диагнозом ЗНО кости при первичном приеме, а также при каждом приеме у врача-детского онколога, перед каждым последующим курсом химиотерапии, при оценке ответа на проведенную терапию в процессе лечения и в динамическом наблюдении рекомендуется для уточнения состояния пациента, планирования терапевтической тактики и определения необходимости ее модификации, а также для определения потребности в сопутствующей и сопроводительной терапии выполнение следующих лабораторных исследований: общий (клинический) анализ крови развернутый;</w:t>
      </w:r>
    </w:p>
    <w:p>
      <w:pPr>
        <w:spacing w:after="58"/>
      </w:pPr>
      <w:r>
        <w:rPr>
          <w:b w:val="0"/>
          <w:i w:val="0"/>
        </w:rPr>
        <w:t>При остеосаркоме могут наблюдаться в клиническом анализе крови лейкоцитоз, повышение СОЭ.</w:t>
      </w:r>
    </w:p>
    <w:p>
      <w:pPr>
        <w:spacing w:after="58"/>
      </w:pPr>
      <w:hyperlink r:id="rId38">
        <w:r>
          <w:rPr>
            <w:color w:val="173C49"/>
            <w:u w:val="single"/>
          </w:rPr>
          <w:t xml:space="preserve">Клинические рекомендации Минздрава России. Злокачественные новообразования костей и суставных хрящей: остеосаркома, саркома Юинга, 2024 г.</w:t>
        </w:r>
      </w:hyperlink>
    </w:p>
    <w:p>
      <w:pPr>
        <w:spacing w:after="58"/>
      </w:pPr>
      <w:hyperlink r:id="rId39">
        <w:r>
          <w:rPr>
            <w:color w:val="173C49"/>
            <w:u w:val="single"/>
          </w:rPr>
          <w:t xml:space="preserve">(1)</w:t>
        </w:r>
      </w:hyperlink>
    </w:p>
    <w:p>
      <w:pPr>
        <w:spacing w:after="58"/>
      </w:pPr>
      <w:r>
        <w:rPr>
          <w:b w:val="0"/>
          <w:i w:val="0"/>
        </w:rPr>
        <w:t>Всем пациентам с подозрением на ЗНО кости или установленным диагнозом ЗНО кости при первичном приеме, а также при каждом приеме у врача-детского онколога, перед каждым последующим курсом химиотерапии, при оценке ответа на проведенную терапию в процессе лечения и в динамическом наблюдении рекомендуется для уточнения состояния пациента, планирования терапевтической тактики и определения необходимости ее модификации, а также для определения потребности в сопутствующей и сопроводительной терапии выполнение следующих лабораторных исследований: анализ крови биохимический общетерапевтический с включением следующих параметров: определение активности лактатдегидрогеназы в крови (ЛДГ), определение активности аланинаминорансферазы в крови (АЛТ), определение активности аспартатаминотрансферазы в крови (АСТ), исследование уровня общего билирубина в крови, определение активности щелочной фосфатазы в крови, исследование уровня общего белка в крови, исследование уровня альбумина в крови, исследование уровня креатинина в крови, исследование уровня мочевины в крови, исследование уровня мочевой кислоты в крови, исследование уровня калия в крови, исследование уровня натрия в крови, исследование уровня хлоридов в крови, исследование уровня кальция в крови (другие параметры биохимического анализа крови могут быть включены в исследование на усмотрение врача);</w:t>
      </w:r>
    </w:p>
    <w:p>
      <w:pPr>
        <w:spacing w:after="58"/>
      </w:pPr>
      <w:hyperlink r:id="rId38">
        <w:r>
          <w:rPr>
            <w:color w:val="173C49"/>
            <w:u w:val="single"/>
          </w:rPr>
          <w:t xml:space="preserve">Клинические рекомендации Минздрава России. Злокачественные новообразования костей и суставных хрящей: остеосаркома, саркома Юинга, 2024 г.</w:t>
        </w:r>
      </w:hyperlink>
    </w:p>
    <w:p>
      <w:pPr>
        <w:spacing w:after="58"/>
      </w:pPr>
      <w:hyperlink r:id="rId40">
        <w:r>
          <w:rPr>
            <w:color w:val="173C49"/>
            <w:u w:val="single"/>
          </w:rPr>
          <w:t xml:space="preserve">(1)</w:t>
        </w:r>
      </w:hyperlink>
    </w:p>
    <w:p>
      <w:pPr>
        <w:pStyle w:val="Heading3"/>
        <w:keepNext/>
      </w:pPr>
      <w:r>
        <w:rPr>
          <w:b/>
          <w:color w:val="173C49"/>
        </w:rPr>
        <w:t>Вопрос 2.</w:t>
      </w:r>
    </w:p>
    <w:p>
      <w:pPr>
        <w:keepNext/>
      </w:pPr>
      <w:r>
        <w:rPr>
          <w:b w:val="0"/>
          <w:i w:val="0"/>
        </w:rPr>
        <w:t>К необходимым для постановки основного диагноза инструментальным методам исследования относится</w:t>
      </w:r>
    </w:p>
    <w:p>
      <w:pPr>
        <w:tabs>
          <w:tab w:pos="490" w:val="left"/>
        </w:tabs>
        <w:spacing w:after="60"/>
        <w:ind w:left="490" w:hanging="490"/>
      </w:pPr>
      <w:r>
        <w:drawing>
          <wp:inline xmlns:a="http://schemas.openxmlformats.org/drawingml/2006/main" xmlns:pic="http://schemas.openxmlformats.org/drawingml/2006/picture">
            <wp:extent cx="214884" cy="214884"/>
            <wp:docPr id="23" name="Picture 23"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сцинтиграфия костей скелета</w:t>
      </w:r>
    </w:p>
    <w:p>
      <w:pPr>
        <w:tabs>
          <w:tab w:pos="490" w:val="left"/>
        </w:tabs>
        <w:spacing w:after="60"/>
        <w:ind w:left="490" w:hanging="490"/>
      </w:pPr>
      <w:r>
        <w:drawing>
          <wp:inline xmlns:a="http://schemas.openxmlformats.org/drawingml/2006/main" xmlns:pic="http://schemas.openxmlformats.org/drawingml/2006/picture">
            <wp:extent cx="214884" cy="214884"/>
            <wp:docPr id="24" name="Picture 2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32"/>
                    <a:stretch>
                      <a:fillRect/>
                    </a:stretch>
                  </pic:blipFill>
                  <pic:spPr>
                    <a:xfrm>
                      <a:off x="0" y="0"/>
                      <a:ext cx="214884" cy="214884"/>
                    </a:xfrm>
                    <a:prstGeom prst="rect"/>
                  </pic:spPr>
                </pic:pic>
              </a:graphicData>
            </a:graphic>
          </wp:inline>
        </w:drawing>
      </w:r>
      <w:r>
        <w:tab/>
      </w:r>
      <w:r>
        <w:rPr>
          <w:b w:val="0"/>
          <w:i w:val="0"/>
        </w:rPr>
        <w:t>магнитно-резонансная томография (МРТ) пораженного участка со смежными суставами</w:t>
      </w:r>
    </w:p>
    <w:p>
      <w:pPr>
        <w:tabs>
          <w:tab w:pos="490" w:val="left"/>
        </w:tabs>
        <w:spacing w:after="60"/>
        <w:ind w:left="490" w:hanging="490"/>
      </w:pPr>
      <w:r>
        <w:rPr>
          <w:b/>
        </w:rPr>
        <w:t>3.</w:t>
      </w:r>
      <w:r>
        <w:tab/>
      </w:r>
      <w:r>
        <w:rPr>
          <w:b w:val="0"/>
          <w:i w:val="0"/>
        </w:rPr>
        <w:t>электрокардиография в покое</w:t>
      </w:r>
    </w:p>
    <w:p>
      <w:pPr>
        <w:tabs>
          <w:tab w:pos="490" w:val="left"/>
        </w:tabs>
        <w:spacing w:after="60"/>
        <w:ind w:left="490" w:hanging="490"/>
      </w:pPr>
      <w:r>
        <w:drawing>
          <wp:inline xmlns:a="http://schemas.openxmlformats.org/drawingml/2006/main" xmlns:pic="http://schemas.openxmlformats.org/drawingml/2006/picture">
            <wp:extent cx="214884" cy="214884"/>
            <wp:docPr id="25" name="Picture 2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1"/>
                    <a:stretch>
                      <a:fillRect/>
                    </a:stretch>
                  </pic:blipFill>
                  <pic:spPr>
                    <a:xfrm>
                      <a:off x="0" y="0"/>
                      <a:ext cx="214884" cy="214884"/>
                    </a:xfrm>
                    <a:prstGeom prst="rect"/>
                  </pic:spPr>
                </pic:pic>
              </a:graphicData>
            </a:graphic>
          </wp:inline>
        </w:drawing>
      </w:r>
      <w:r>
        <w:tab/>
      </w:r>
      <w:r>
        <w:rPr>
          <w:b w:val="0"/>
          <w:i w:val="0"/>
        </w:rPr>
        <w:t>компьютерная томография (КТ) пораженного отдела скелета</w:t>
      </w:r>
    </w:p>
    <w:p>
      <w:pPr>
        <w:tabs>
          <w:tab w:pos="490" w:val="left"/>
        </w:tabs>
        <w:spacing w:after="60"/>
        <w:ind w:left="490" w:hanging="490"/>
      </w:pPr>
      <w:r>
        <w:drawing>
          <wp:inline xmlns:a="http://schemas.openxmlformats.org/drawingml/2006/main" xmlns:pic="http://schemas.openxmlformats.org/drawingml/2006/picture">
            <wp:extent cx="214884" cy="214884"/>
            <wp:docPr id="26" name="Picture 26" title="Правильный вариант 5" descr="Правильный ответ: вариант 5"/>
            <wp:cNvGraphicFramePr>
              <a:graphicFrameLocks noChangeAspect="1"/>
            </wp:cNvGraphicFramePr>
            <a:graphic>
              <a:graphicData uri="http://schemas.openxmlformats.org/drawingml/2006/picture">
                <pic:pic>
                  <pic:nvPicPr>
                    <pic:cNvPr id="0" name="correct-choice-5.png"/>
                    <pic:cNvPicPr/>
                  </pic:nvPicPr>
                  <pic:blipFill>
                    <a:blip r:embed="rId28"/>
                    <a:stretch>
                      <a:fillRect/>
                    </a:stretch>
                  </pic:blipFill>
                  <pic:spPr>
                    <a:xfrm>
                      <a:off x="0" y="0"/>
                      <a:ext cx="214884" cy="214884"/>
                    </a:xfrm>
                    <a:prstGeom prst="rect"/>
                  </pic:spPr>
                </pic:pic>
              </a:graphicData>
            </a:graphic>
          </wp:inline>
        </w:drawing>
      </w:r>
      <w:r>
        <w:tab/>
      </w:r>
      <w:r>
        <w:rPr>
          <w:b w:val="0"/>
          <w:i w:val="0"/>
        </w:rPr>
        <w:t>КТ органов грудной полости с в/в контрастированием</w:t>
      </w:r>
    </w:p>
    <w:p>
      <w:pPr>
        <w:tabs>
          <w:tab w:pos="490" w:val="left"/>
        </w:tabs>
        <w:spacing w:after="60"/>
        <w:ind w:left="490" w:hanging="490"/>
      </w:pPr>
      <w:r>
        <w:rPr>
          <w:b/>
        </w:rPr>
        <w:t>6.</w:t>
      </w:r>
      <w:r>
        <w:tab/>
      </w:r>
      <w:r>
        <w:rPr>
          <w:b w:val="0"/>
          <w:i w:val="0"/>
        </w:rPr>
        <w:t>УЗИ органов брюшной полости и мочевыделительной системы</w:t>
      </w:r>
    </w:p>
    <w:p>
      <w:pPr>
        <w:ind w:left="288"/>
      </w:pPr>
      <w:r>
        <w:rPr>
          <w:b/>
          <w:color w:val="173C49"/>
        </w:rPr>
        <w:t>Правильные ответы:</w:t>
      </w:r>
      <w:r>
        <w:br/>
      </w:r>
      <w:r>
        <w:rPr>
          <w:b/>
          <w:i w:val="0"/>
        </w:rPr>
        <w:t>1 - сцинтиграфия костей скелета</w:t>
      </w:r>
      <w:r>
        <w:br/>
      </w:r>
      <w:r>
        <w:rPr>
          <w:b/>
          <w:i w:val="0"/>
        </w:rPr>
        <w:t>2 - магнитно-резонансная томография (МРТ) пораженного участка со смежными суставами</w:t>
      </w:r>
      <w:r>
        <w:br/>
      </w:r>
      <w:r>
        <w:rPr>
          <w:b/>
          <w:i w:val="0"/>
        </w:rPr>
        <w:t>4 - компьютерная томография (КТ) пораженного отдела скелета</w:t>
      </w:r>
      <w:r>
        <w:br/>
      </w:r>
      <w:r>
        <w:rPr>
          <w:b/>
          <w:i w:val="0"/>
        </w:rPr>
        <w:t>5 - КТ органов грудной полости с в/в контрастированием</w:t>
      </w:r>
    </w:p>
    <w:p>
      <w:pPr>
        <w:spacing w:after="58"/>
      </w:pPr>
      <w:r>
        <w:rPr>
          <w:b w:val="0"/>
          <w:i w:val="0"/>
        </w:rPr>
        <w:t>Всем пациентам с подозрением на ЗНО кости или выявленным ЗНО кости при первичном обследовании, при оценке ответа на проведенную терапию в процессе лечения и в динамическом наблюдении, а также при подозрении на рецидив заболевания при отсутствии возможности выполнить ПЭТ/КТ, а в некоторых случаях и в дополнение к ПЭТ/КТ рекомендовано выполнение сцинтиграфии костей скелета с соединениями технеция (99mTc) в режиме все тело с дополнительным выполнением протокола однофотонной эмиссионной компьютерной томографии, совмещенной с компьютерной томографией костей всего тела (ОФЭКТ/КТ) при наличии одиночного или нескольких сомнительных очагов гиперфиксации по результатам планарных изображений.</w:t>
      </w:r>
    </w:p>
    <w:p>
      <w:pPr>
        <w:spacing w:after="58"/>
      </w:pPr>
      <w:hyperlink r:id="rId38">
        <w:r>
          <w:rPr>
            <w:color w:val="173C49"/>
            <w:u w:val="single"/>
          </w:rPr>
          <w:t xml:space="preserve">Клинические рекомендации Минздрава России. Злокачественные новообразования костей и суставных хрящей: остеосаркома, саркома Юинга, 2024 г.</w:t>
        </w:r>
      </w:hyperlink>
    </w:p>
    <w:p>
      <w:pPr>
        <w:spacing w:after="58"/>
      </w:pPr>
      <w:hyperlink r:id="rId41">
        <w:r>
          <w:rPr>
            <w:color w:val="173C49"/>
            <w:u w:val="single"/>
          </w:rPr>
          <w:t xml:space="preserve">(1)</w:t>
        </w:r>
      </w:hyperlink>
    </w:p>
    <w:p>
      <w:pPr>
        <w:spacing w:after="58"/>
      </w:pPr>
      <w:r>
        <w:rPr>
          <w:b w:val="0"/>
          <w:i w:val="0"/>
        </w:rPr>
        <w:t>Всем пациентам с подозрением на ЗНО кости или верифицированным ЗНО кости при первичном обследовании, при оценке ответа на проведенную терапию в процессе лечения и в динамическом наблюдении, а также при подозрении на рецидив заболевания рекомендовано выполнение магнитно-резонансной томографии (МРТ) пораженной области с контрастным усилением</w:t>
      </w:r>
    </w:p>
    <w:p>
      <w:pPr>
        <w:spacing w:after="58"/>
      </w:pPr>
      <w:hyperlink r:id="rId38">
        <w:r>
          <w:rPr>
            <w:color w:val="173C49"/>
            <w:u w:val="single"/>
          </w:rPr>
          <w:t xml:space="preserve">Клинические рекомендации Минздрава России. Злокачественные новообразования костей и суставных хрящей: остеосаркома, саркома Юинга, 2024 г.</w:t>
        </w:r>
      </w:hyperlink>
    </w:p>
    <w:p>
      <w:pPr>
        <w:spacing w:after="58"/>
      </w:pPr>
      <w:hyperlink r:id="rId42">
        <w:r>
          <w:rPr>
            <w:color w:val="173C49"/>
            <w:u w:val="single"/>
          </w:rPr>
          <w:t xml:space="preserve">(1)</w:t>
        </w:r>
      </w:hyperlink>
    </w:p>
    <w:p>
      <w:pPr>
        <w:spacing w:after="58"/>
      </w:pPr>
      <w:r>
        <w:rPr>
          <w:b w:val="0"/>
          <w:i w:val="0"/>
        </w:rPr>
        <w:t>Исследование КТ первичного очага может предоставить дополнительную информацию о характере образования (наличия кальцинации, периостита и деструкции кортикального слоя кости).</w:t>
      </w:r>
    </w:p>
    <w:p>
      <w:pPr>
        <w:spacing w:after="58"/>
      </w:pPr>
      <w:r>
        <w:rPr>
          <w:b w:val="0"/>
          <w:i w:val="0"/>
        </w:rPr>
        <w:t>КТ и МРТ исследования не исключают и не заменяют друг друга. Для точной оценки костной патологии, оценки распространенности опухоли и постановки рентгенологического дифференциально-диагностического ряда оптимальным является комплексное обследование пациента с помощью сочетания МРТ и КТ исследований.</w:t>
      </w:r>
    </w:p>
    <w:p>
      <w:pPr>
        <w:spacing w:after="58"/>
      </w:pPr>
      <w:r>
        <w:rPr>
          <w:b w:val="0"/>
          <w:i w:val="0"/>
        </w:rPr>
        <w:t>Исследование КТ является неотъемлемой частью предоперационного планирования, планирования реконструктивного оперативного вмешательства, при возможности его выполнения, а также изготовления индивидуального импланта.</w:t>
      </w:r>
    </w:p>
    <w:p>
      <w:pPr>
        <w:spacing w:after="58"/>
      </w:pPr>
      <w:hyperlink r:id="rId38">
        <w:r>
          <w:rPr>
            <w:color w:val="173C49"/>
            <w:u w:val="single"/>
          </w:rPr>
          <w:t xml:space="preserve">Клинические рекомендации Минздрава России. Злокачественные новообразования костей и суставных хрящей: остеосаркома, саркома Юинга, 2024 г.</w:t>
        </w:r>
      </w:hyperlink>
    </w:p>
    <w:p>
      <w:pPr>
        <w:spacing w:after="58"/>
      </w:pPr>
      <w:hyperlink r:id="rId43">
        <w:r>
          <w:rPr>
            <w:color w:val="173C49"/>
            <w:u w:val="single"/>
          </w:rPr>
          <w:t xml:space="preserve">(1)</w:t>
        </w:r>
      </w:hyperlink>
    </w:p>
    <w:p>
      <w:pPr>
        <w:spacing w:after="58"/>
      </w:pPr>
      <w:r>
        <w:rPr>
          <w:b w:val="0"/>
          <w:i w:val="0"/>
        </w:rPr>
        <w:t>Всем пациентам с подозрением на ЗНО кости или выявленным ЗНО кости при первичном обследовании, при оценке ответа на проведенную терапию в процессе лечения и в динамическом наблюдении, а также при подозрении на рецидив заболевания рекомендовано выполнение КТ органов грудной полости с внутривенным болюсным контрастированием для исключения метастатического поражения легких</w:t>
      </w:r>
    </w:p>
    <w:p>
      <w:pPr>
        <w:spacing w:after="58"/>
      </w:pPr>
      <w:hyperlink r:id="rId38">
        <w:r>
          <w:rPr>
            <w:color w:val="173C49"/>
            <w:u w:val="single"/>
          </w:rPr>
          <w:t xml:space="preserve">Клинические рекомендации Минздрава России. Злокачественные новообразования костей и суставных хрящей: остеосаркома, саркома Юинга, 2024 г.</w:t>
        </w:r>
      </w:hyperlink>
    </w:p>
    <w:p>
      <w:pPr>
        <w:spacing w:after="58"/>
      </w:pPr>
      <w:hyperlink r:id="rId44">
        <w:r>
          <w:rPr>
            <w:color w:val="173C49"/>
            <w:u w:val="single"/>
          </w:rPr>
          <w:t xml:space="preserve">(1)</w:t>
        </w:r>
      </w:hyperlink>
    </w:p>
    <w:p>
      <w:pPr>
        <w:pStyle w:val="Heading2"/>
      </w:pPr>
      <w:r>
        <w:t>2. Диагноз</w:t>
      </w:r>
    </w:p>
    <w:p>
      <w:pPr>
        <w:pStyle w:val="Heading3"/>
        <w:keepNext/>
      </w:pPr>
      <w:r>
        <w:rPr>
          <w:b/>
          <w:color w:val="173C49"/>
        </w:rPr>
        <w:t>Вопрос 3.</w:t>
      </w:r>
    </w:p>
    <w:p>
      <w:pPr>
        <w:keepNext/>
      </w:pPr>
      <w:r>
        <w:rPr>
          <w:b w:val="0"/>
          <w:i w:val="0"/>
        </w:rPr>
        <w:t>Предполагаемым основным диагнозом у данного пациента является</w:t>
      </w:r>
    </w:p>
    <w:p>
      <w:pPr>
        <w:tabs>
          <w:tab w:pos="490" w:val="left"/>
        </w:tabs>
        <w:spacing w:after="60"/>
        <w:ind w:left="490" w:hanging="490"/>
      </w:pPr>
      <w:r>
        <w:rPr>
          <w:b/>
        </w:rPr>
        <w:t>1.</w:t>
      </w:r>
      <w:r>
        <w:tab/>
      </w:r>
      <w:r>
        <w:rPr>
          <w:b w:val="0"/>
          <w:i w:val="0"/>
        </w:rPr>
        <w:t>остеомиелит левой подвздошной кости</w:t>
      </w:r>
    </w:p>
    <w:p>
      <w:pPr>
        <w:tabs>
          <w:tab w:pos="490" w:val="left"/>
        </w:tabs>
        <w:spacing w:after="60"/>
        <w:ind w:left="490" w:hanging="490"/>
      </w:pPr>
      <w:r>
        <w:drawing>
          <wp:inline xmlns:a="http://schemas.openxmlformats.org/drawingml/2006/main" xmlns:pic="http://schemas.openxmlformats.org/drawingml/2006/picture">
            <wp:extent cx="214884" cy="214884"/>
            <wp:docPr id="27" name="Picture 27"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32"/>
                    <a:stretch>
                      <a:fillRect/>
                    </a:stretch>
                  </pic:blipFill>
                  <pic:spPr>
                    <a:xfrm>
                      <a:off x="0" y="0"/>
                      <a:ext cx="214884" cy="214884"/>
                    </a:xfrm>
                    <a:prstGeom prst="rect"/>
                  </pic:spPr>
                </pic:pic>
              </a:graphicData>
            </a:graphic>
          </wp:inline>
        </w:drawing>
      </w:r>
      <w:r>
        <w:tab/>
      </w:r>
      <w:r>
        <w:rPr>
          <w:b w:val="0"/>
          <w:i w:val="0"/>
        </w:rPr>
        <w:t>саркома Юинга левой подвздошной кости</w:t>
      </w:r>
    </w:p>
    <w:p>
      <w:pPr>
        <w:tabs>
          <w:tab w:pos="490" w:val="left"/>
        </w:tabs>
        <w:spacing w:after="60"/>
        <w:ind w:left="490" w:hanging="490"/>
      </w:pPr>
      <w:r>
        <w:rPr>
          <w:b/>
        </w:rPr>
        <w:t>3.</w:t>
      </w:r>
      <w:r>
        <w:tab/>
      </w:r>
      <w:r>
        <w:rPr>
          <w:b w:val="0"/>
          <w:i w:val="0"/>
        </w:rPr>
        <w:t>лимфома мягких тканей области таза</w:t>
      </w:r>
    </w:p>
    <w:p>
      <w:pPr>
        <w:tabs>
          <w:tab w:pos="490" w:val="left"/>
        </w:tabs>
        <w:spacing w:after="60"/>
        <w:ind w:left="490" w:hanging="490"/>
      </w:pPr>
      <w:r>
        <w:rPr>
          <w:b/>
        </w:rPr>
        <w:t>4.</w:t>
      </w:r>
      <w:r>
        <w:tab/>
      </w:r>
      <w:r>
        <w:rPr>
          <w:b w:val="0"/>
          <w:i w:val="0"/>
        </w:rPr>
        <w:t>мягкотканная саркома подвздошной области</w:t>
      </w:r>
    </w:p>
    <w:p>
      <w:pPr>
        <w:ind w:left="288"/>
      </w:pPr>
      <w:r>
        <w:rPr>
          <w:b/>
          <w:color w:val="173C49"/>
        </w:rPr>
        <w:t>Правильный ответ:</w:t>
      </w:r>
      <w:r>
        <w:br/>
      </w:r>
      <w:r>
        <w:rPr>
          <w:b/>
          <w:i w:val="0"/>
        </w:rPr>
        <w:t>2 - саркома Юинга левой подвздошной кости</w:t>
      </w:r>
    </w:p>
    <w:p>
      <w:pPr>
        <w:spacing w:after="58"/>
      </w:pPr>
      <w:r>
        <w:rPr>
          <w:b w:val="0"/>
          <w:i w:val="0"/>
        </w:rPr>
        <w:t>Диагноз может быть предположен с учетом возраста пациента, клинической и рентгенологической картины.</w:t>
      </w:r>
    </w:p>
    <w:p>
      <w:pPr>
        <w:spacing w:after="58"/>
      </w:pPr>
      <w:r>
        <w:rPr>
          <w:b w:val="0"/>
          <w:i w:val="0"/>
        </w:rPr>
        <w:t>Клиническая картина при злокачественных новообразованиях костей обусловлена анатомической локализацией первичного очага и его размерами, степенью инвазии и компрессии прилежащих органов и тканей, а также анатомической локализацией метастазов. В исключительно редких случаях, заболевание протекает бессимптомно и может являться случайной находкой при проведении диспансерного наблюдения или обследования по поводу другого заболевания.</w:t>
      </w:r>
    </w:p>
    <w:p>
      <w:pPr>
        <w:spacing w:after="58"/>
      </w:pPr>
      <w:r>
        <w:rPr>
          <w:b w:val="0"/>
          <w:i w:val="0"/>
        </w:rPr>
        <w:t>Как правило, ведущим симптомом является боль в проекции объемного образования, к которой в динамике может присоединиться припухлость, нарушение движения в прилежащем суставе, если образование расположено в костях конечностей. В 10-15% случаев у пациентов встречается патологический перелом на уровне объемного образования.</w:t>
      </w:r>
    </w:p>
    <w:p>
      <w:pPr>
        <w:spacing w:after="58"/>
      </w:pPr>
      <w:r>
        <w:rPr>
          <w:b w:val="0"/>
          <w:i w:val="0"/>
        </w:rPr>
        <w:t>Критерии установления диагноза/состояния: диагноз устанавливается на основании патогномоничных данных:</w:t>
      </w:r>
    </w:p>
    <w:p>
      <w:pPr>
        <w:spacing w:after="58"/>
      </w:pPr>
      <w:r>
        <w:rPr>
          <w:b w:val="0"/>
          <w:i w:val="0"/>
        </w:rPr>
        <w:t xml:space="preserve">. анамнестические данные; </w:t>
        <w:br/>
        <w:t xml:space="preserve">. физикальное обследование; </w:t>
        <w:br/>
        <w:t xml:space="preserve">. лабораторные исследования; </w:t>
        <w:br/>
        <w:t xml:space="preserve">. инструментальное обследование; </w:t>
        <w:br/>
        <w:t xml:space="preserve">. гистологическое исследование; </w:t>
        <w:br/>
        <w:t>. цитогенетическое исследование.</w:t>
      </w:r>
    </w:p>
    <w:p>
      <w:pPr>
        <w:spacing w:after="58"/>
      </w:pPr>
      <w:hyperlink r:id="rId38">
        <w:r>
          <w:rPr>
            <w:color w:val="173C49"/>
            <w:u w:val="single"/>
          </w:rPr>
          <w:t xml:space="preserve">Клинические рекомендации Минздрава России. Злокачественные новообразования костей и суставных хрящей: остеосаркома, саркома Юинга, 2024 г.</w:t>
        </w:r>
      </w:hyperlink>
    </w:p>
    <w:p>
      <w:pPr>
        <w:spacing w:after="58"/>
      </w:pPr>
      <w:hyperlink r:id="rId45">
        <w:r>
          <w:rPr>
            <w:color w:val="173C49"/>
            <w:u w:val="single"/>
          </w:rPr>
          <w:t xml:space="preserve">(1)</w:t>
        </w:r>
      </w:hyperlink>
    </w:p>
    <w:p>
      <w:pPr>
        <w:spacing w:after="58"/>
      </w:pPr>
      <w:hyperlink r:id="rId46">
        <w:r>
          <w:rPr>
            <w:color w:val="173C49"/>
            <w:u w:val="single"/>
          </w:rPr>
          <w:t xml:space="preserve">(2)</w:t>
        </w:r>
      </w:hyperlink>
    </w:p>
    <w:p>
      <w:pPr>
        <w:pStyle w:val="Heading2"/>
      </w:pPr>
      <w:r>
        <w:t>3. Лечение</w:t>
      </w:r>
    </w:p>
    <w:p>
      <w:pPr>
        <w:pStyle w:val="Heading3"/>
        <w:keepNext/>
      </w:pPr>
      <w:r>
        <w:rPr>
          <w:b/>
          <w:color w:val="173C49"/>
        </w:rPr>
        <w:t>Вопрос 4.</w:t>
      </w:r>
    </w:p>
    <w:p>
      <w:pPr>
        <w:keepNext/>
      </w:pPr>
      <w:r>
        <w:rPr>
          <w:b w:val="0"/>
          <w:i w:val="0"/>
        </w:rPr>
        <w:t>Тактикой дальнейшего ведения пациента при наличии у него саркомы Юинга будет проведение</w:t>
      </w:r>
    </w:p>
    <w:p>
      <w:pPr>
        <w:tabs>
          <w:tab w:pos="490" w:val="left"/>
        </w:tabs>
        <w:spacing w:after="60"/>
        <w:ind w:left="490" w:hanging="490"/>
      </w:pPr>
      <w:r>
        <w:rPr>
          <w:b/>
        </w:rPr>
        <w:t>1.</w:t>
      </w:r>
      <w:r>
        <w:tab/>
      </w:r>
      <w:r>
        <w:rPr>
          <w:b w:val="0"/>
          <w:i w:val="0"/>
        </w:rPr>
        <w:t>полихимиотерапии и хирургического лечения</w:t>
      </w:r>
    </w:p>
    <w:p>
      <w:pPr>
        <w:tabs>
          <w:tab w:pos="490" w:val="left"/>
        </w:tabs>
        <w:spacing w:after="60"/>
        <w:ind w:left="490" w:hanging="490"/>
      </w:pPr>
      <w:r>
        <w:drawing>
          <wp:inline xmlns:a="http://schemas.openxmlformats.org/drawingml/2006/main" xmlns:pic="http://schemas.openxmlformats.org/drawingml/2006/picture">
            <wp:extent cx="214884" cy="214884"/>
            <wp:docPr id="28" name="Picture 28"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32"/>
                    <a:stretch>
                      <a:fillRect/>
                    </a:stretch>
                  </pic:blipFill>
                  <pic:spPr>
                    <a:xfrm>
                      <a:off x="0" y="0"/>
                      <a:ext cx="214884" cy="214884"/>
                    </a:xfrm>
                    <a:prstGeom prst="rect"/>
                  </pic:spPr>
                </pic:pic>
              </a:graphicData>
            </a:graphic>
          </wp:inline>
        </w:drawing>
      </w:r>
      <w:r>
        <w:tab/>
      </w:r>
      <w:r>
        <w:rPr>
          <w:b w:val="0"/>
          <w:i w:val="0"/>
        </w:rPr>
        <w:t>полихимиотерапии, лучевой терапии, хирургического лечения</w:t>
      </w:r>
    </w:p>
    <w:p>
      <w:pPr>
        <w:tabs>
          <w:tab w:pos="490" w:val="left"/>
        </w:tabs>
        <w:spacing w:after="60"/>
        <w:ind w:left="490" w:hanging="490"/>
      </w:pPr>
      <w:r>
        <w:rPr>
          <w:b/>
        </w:rPr>
        <w:t>3.</w:t>
      </w:r>
      <w:r>
        <w:tab/>
      </w:r>
      <w:r>
        <w:rPr>
          <w:b w:val="0"/>
          <w:i w:val="0"/>
        </w:rPr>
        <w:t>лучевой терапии и полихимиотерапии</w:t>
      </w:r>
    </w:p>
    <w:p>
      <w:pPr>
        <w:tabs>
          <w:tab w:pos="490" w:val="left"/>
        </w:tabs>
        <w:spacing w:after="60"/>
        <w:ind w:left="490" w:hanging="490"/>
      </w:pPr>
      <w:r>
        <w:rPr>
          <w:b/>
        </w:rPr>
        <w:t>4.</w:t>
      </w:r>
      <w:r>
        <w:tab/>
      </w:r>
      <w:r>
        <w:rPr>
          <w:b w:val="0"/>
          <w:i w:val="0"/>
        </w:rPr>
        <w:t>хирургического лечения и лучевой терапии</w:t>
      </w:r>
    </w:p>
    <w:p>
      <w:pPr>
        <w:ind w:left="288"/>
      </w:pPr>
      <w:r>
        <w:rPr>
          <w:b/>
          <w:color w:val="173C49"/>
        </w:rPr>
        <w:t>Правильный ответ:</w:t>
      </w:r>
      <w:r>
        <w:br/>
      </w:r>
      <w:r>
        <w:rPr>
          <w:b/>
          <w:i w:val="0"/>
        </w:rPr>
        <w:t>2 - полихимиотерапии, лучевой терапии, хирургического лечения</w:t>
      </w:r>
    </w:p>
    <w:p>
      <w:pPr>
        <w:spacing w:after="58"/>
      </w:pPr>
      <w:r>
        <w:rPr>
          <w:b w:val="0"/>
          <w:i w:val="0"/>
        </w:rPr>
        <w:t>Всем пациентам с cаркомой Юинга и другими недифференцированными мелкокруглоклеточными саркомами костей рекомендовано комплексное лечение, которое включает в себя неоадъювантную (предоперационную) полихимиотерапию, оперативное вмешательство и адъювантную (послеоперационную) ПХТ, а также лучевую терапию.</w:t>
      </w:r>
    </w:p>
    <w:p>
      <w:pPr>
        <w:spacing w:after="58"/>
      </w:pPr>
      <w:hyperlink r:id="rId38">
        <w:r>
          <w:rPr>
            <w:color w:val="173C49"/>
            <w:u w:val="single"/>
          </w:rPr>
          <w:t xml:space="preserve">Клинические рекомендации Минздрава России. Злокачественные новообразования костей и суставных хрящей: остеосаркома, саркома Юинга, 2024 г.</w:t>
        </w:r>
      </w:hyperlink>
    </w:p>
    <w:p>
      <w:pPr>
        <w:spacing w:after="58"/>
      </w:pPr>
      <w:hyperlink r:id="rId47">
        <w:r>
          <w:rPr>
            <w:color w:val="173C49"/>
            <w:u w:val="single"/>
          </w:rPr>
          <w:t xml:space="preserve">(1)</w:t>
        </w:r>
      </w:hyperlink>
    </w:p>
    <w:p>
      <w:pPr>
        <w:pStyle w:val="Heading3"/>
        <w:keepNext/>
      </w:pPr>
      <w:r>
        <w:rPr>
          <w:b/>
          <w:color w:val="173C49"/>
        </w:rPr>
        <w:t>Вопрос 5.</w:t>
      </w:r>
    </w:p>
    <w:p>
      <w:pPr>
        <w:keepNext/>
      </w:pPr>
      <w:r>
        <w:rPr>
          <w:b w:val="0"/>
          <w:i w:val="0"/>
        </w:rPr>
        <w:t>Для морфологического подтверждения диагноза данному ребенку необходимо провести</w:t>
      </w:r>
    </w:p>
    <w:p>
      <w:pPr>
        <w:tabs>
          <w:tab w:pos="490" w:val="left"/>
        </w:tabs>
        <w:spacing w:after="60"/>
        <w:ind w:left="490" w:hanging="490"/>
      </w:pPr>
      <w:r>
        <w:rPr>
          <w:b/>
        </w:rPr>
        <w:t>1.</w:t>
      </w:r>
      <w:r>
        <w:tab/>
      </w:r>
      <w:r>
        <w:rPr>
          <w:b w:val="0"/>
          <w:i w:val="0"/>
        </w:rPr>
        <w:t>аспирационную биопсию костного мозга из четырех точек с цитологическим исследованием костного мозга</w:t>
      </w:r>
    </w:p>
    <w:p>
      <w:pPr>
        <w:tabs>
          <w:tab w:pos="490" w:val="left"/>
        </w:tabs>
        <w:spacing w:after="60"/>
        <w:ind w:left="490" w:hanging="490"/>
      </w:pPr>
      <w:r>
        <w:rPr>
          <w:b/>
        </w:rPr>
        <w:t>2.</w:t>
      </w:r>
      <w:r>
        <w:tab/>
      </w:r>
      <w:r>
        <w:rPr>
          <w:b w:val="0"/>
          <w:i w:val="0"/>
        </w:rPr>
        <w:t xml:space="preserve">сцинтиграфию с </w:t>
      </w:r>
      <w:r>
        <w:rPr>
          <w:b w:val="0"/>
          <w:i w:val="0"/>
          <w:vertAlign w:val="superscript"/>
        </w:rPr>
        <w:t>123</w:t>
      </w:r>
      <w:r>
        <w:rPr>
          <w:b w:val="0"/>
          <w:i w:val="0"/>
        </w:rPr>
        <w:t>I- МЙБГ</w:t>
      </w:r>
    </w:p>
    <w:p>
      <w:pPr>
        <w:tabs>
          <w:tab w:pos="490" w:val="left"/>
        </w:tabs>
        <w:spacing w:after="60"/>
        <w:ind w:left="490" w:hanging="490"/>
      </w:pPr>
      <w:r>
        <w:rPr>
          <w:b/>
        </w:rPr>
        <w:t>3.</w:t>
      </w:r>
      <w:r>
        <w:tab/>
      </w:r>
      <w:r>
        <w:rPr>
          <w:b w:val="0"/>
          <w:i w:val="0"/>
        </w:rPr>
        <w:t>люмбальную пункцию для цитологического исследования ликвора</w:t>
      </w:r>
    </w:p>
    <w:p>
      <w:pPr>
        <w:tabs>
          <w:tab w:pos="490" w:val="left"/>
        </w:tabs>
        <w:spacing w:after="60"/>
        <w:ind w:left="490" w:hanging="490"/>
      </w:pPr>
      <w:r>
        <w:drawing>
          <wp:inline xmlns:a="http://schemas.openxmlformats.org/drawingml/2006/main" xmlns:pic="http://schemas.openxmlformats.org/drawingml/2006/picture">
            <wp:extent cx="214884" cy="214884"/>
            <wp:docPr id="29" name="Picture 2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1"/>
                    <a:stretch>
                      <a:fillRect/>
                    </a:stretch>
                  </pic:blipFill>
                  <pic:spPr>
                    <a:xfrm>
                      <a:off x="0" y="0"/>
                      <a:ext cx="214884" cy="214884"/>
                    </a:xfrm>
                    <a:prstGeom prst="rect"/>
                  </pic:spPr>
                </pic:pic>
              </a:graphicData>
            </a:graphic>
          </wp:inline>
        </w:drawing>
      </w:r>
      <w:r>
        <w:tab/>
      </w:r>
      <w:r>
        <w:rPr>
          <w:b w:val="0"/>
          <w:i w:val="0"/>
        </w:rPr>
        <w:t>биопсию опухоли для определения её гистогенеза</w:t>
      </w:r>
    </w:p>
    <w:p>
      <w:pPr>
        <w:ind w:left="288"/>
      </w:pPr>
      <w:r>
        <w:rPr>
          <w:b/>
          <w:color w:val="173C49"/>
        </w:rPr>
        <w:t>Правильный ответ:</w:t>
      </w:r>
      <w:r>
        <w:br/>
      </w:r>
      <w:r>
        <w:rPr>
          <w:b/>
          <w:i w:val="0"/>
        </w:rPr>
        <w:t>4 - биопсию опухоли для определения её гистогенеза</w:t>
      </w:r>
    </w:p>
    <w:p>
      <w:pPr>
        <w:spacing w:after="58"/>
      </w:pPr>
      <w:r>
        <w:rPr>
          <w:b w:val="0"/>
          <w:i w:val="0"/>
        </w:rPr>
        <w:t>Всем пациентам с подозрением на ЗНО кости по результатам клинического осмотра и инструментальных методов исследования рекомендована биопсия кости (объемного образования) с последующим патолого-анатомическим исследованием биопсийного (операционного) материала костной ткани, в том числе с применением иммуногистохимических и, при необходимости, цитогенетических методов для верификации диагноза.</w:t>
      </w:r>
    </w:p>
    <w:p>
      <w:pPr>
        <w:spacing w:after="58"/>
      </w:pPr>
      <w:hyperlink r:id="rId38">
        <w:r>
          <w:rPr>
            <w:color w:val="173C49"/>
            <w:u w:val="single"/>
          </w:rPr>
          <w:t xml:space="preserve">Клинические рекомендации Минздрава России. Злокачественные новообразования костей и суставных хрящей: остеосаркома, саркома Юинга, 2024 г.</w:t>
        </w:r>
      </w:hyperlink>
    </w:p>
    <w:p>
      <w:pPr>
        <w:spacing w:after="58"/>
      </w:pPr>
      <w:hyperlink r:id="rId48">
        <w:r>
          <w:rPr>
            <w:color w:val="173C49"/>
            <w:u w:val="single"/>
          </w:rPr>
          <w:t xml:space="preserve">(1)</w:t>
        </w:r>
      </w:hyperlink>
    </w:p>
    <w:p>
      <w:pPr>
        <w:pStyle w:val="Heading3"/>
        <w:keepNext/>
      </w:pPr>
      <w:r>
        <w:rPr>
          <w:b/>
          <w:color w:val="173C49"/>
        </w:rPr>
        <w:t>Вопрос 6.</w:t>
      </w:r>
    </w:p>
    <w:p>
      <w:pPr>
        <w:keepNext/>
      </w:pPr>
      <w:r>
        <w:rPr>
          <w:b w:val="0"/>
          <w:i w:val="0"/>
        </w:rPr>
        <w:t>Стандартом при выполнении биопсии опухоли кости является</w:t>
      </w:r>
    </w:p>
    <w:p>
      <w:pPr>
        <w:tabs>
          <w:tab w:pos="490" w:val="left"/>
        </w:tabs>
        <w:spacing w:after="60"/>
        <w:ind w:left="490" w:hanging="490"/>
      </w:pPr>
      <w:r>
        <w:rPr>
          <w:b/>
        </w:rPr>
        <w:t>1.</w:t>
      </w:r>
      <w:r>
        <w:tab/>
      </w:r>
      <w:r>
        <w:rPr>
          <w:b w:val="0"/>
          <w:i w:val="0"/>
        </w:rPr>
        <w:t>костное окно увеличивается в поперечном направлении</w:t>
      </w:r>
    </w:p>
    <w:p>
      <w:pPr>
        <w:tabs>
          <w:tab w:pos="490" w:val="left"/>
        </w:tabs>
        <w:spacing w:after="60"/>
        <w:ind w:left="490" w:hanging="490"/>
      </w:pPr>
      <w:r>
        <w:rPr>
          <w:b/>
        </w:rPr>
        <w:t>2.</w:t>
      </w:r>
      <w:r>
        <w:tab/>
      </w:r>
      <w:r>
        <w:rPr>
          <w:b w:val="0"/>
          <w:i w:val="0"/>
        </w:rPr>
        <w:t>проведение биопсии под контролем УЗИ</w:t>
      </w:r>
    </w:p>
    <w:p>
      <w:pPr>
        <w:tabs>
          <w:tab w:pos="490" w:val="left"/>
        </w:tabs>
        <w:spacing w:after="60"/>
        <w:ind w:left="490" w:hanging="490"/>
      </w:pPr>
      <w:r>
        <w:rPr>
          <w:b/>
        </w:rPr>
        <w:t>3.</w:t>
      </w:r>
      <w:r>
        <w:tab/>
      </w:r>
      <w:r>
        <w:rPr>
          <w:b w:val="0"/>
          <w:i w:val="0"/>
        </w:rPr>
        <w:t>проведение биопсии хирургом или травматологом под местной анестезией</w:t>
      </w:r>
    </w:p>
    <w:p>
      <w:pPr>
        <w:tabs>
          <w:tab w:pos="490" w:val="left"/>
        </w:tabs>
        <w:spacing w:after="60"/>
        <w:ind w:left="490" w:hanging="490"/>
      </w:pPr>
      <w:r>
        <w:drawing>
          <wp:inline xmlns:a="http://schemas.openxmlformats.org/drawingml/2006/main" xmlns:pic="http://schemas.openxmlformats.org/drawingml/2006/picture">
            <wp:extent cx="214884" cy="214884"/>
            <wp:docPr id="30" name="Picture 30"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1"/>
                    <a:stretch>
                      <a:fillRect/>
                    </a:stretch>
                  </pic:blipFill>
                  <pic:spPr>
                    <a:xfrm>
                      <a:off x="0" y="0"/>
                      <a:ext cx="214884" cy="214884"/>
                    </a:xfrm>
                    <a:prstGeom prst="rect"/>
                  </pic:spPr>
                </pic:pic>
              </a:graphicData>
            </a:graphic>
          </wp:inline>
        </w:drawing>
      </w:r>
      <w:r>
        <w:tab/>
      </w:r>
      <w:r>
        <w:rPr>
          <w:b w:val="0"/>
          <w:i w:val="0"/>
        </w:rPr>
        <w:t>необходимость исключить работу инструментом за пределами биопсийного тракта</w:t>
      </w:r>
    </w:p>
    <w:p>
      <w:pPr>
        <w:ind w:left="288"/>
      </w:pPr>
      <w:r>
        <w:rPr>
          <w:b/>
          <w:color w:val="173C49"/>
        </w:rPr>
        <w:t>Правильный ответ:</w:t>
      </w:r>
      <w:r>
        <w:br/>
      </w:r>
      <w:r>
        <w:rPr>
          <w:b/>
          <w:i w:val="0"/>
        </w:rPr>
        <w:t>4 - необходимость исключить работу инструментом за пределами биопсийного тракта</w:t>
      </w:r>
    </w:p>
    <w:p>
      <w:pPr>
        <w:spacing w:after="58"/>
      </w:pPr>
      <w:r>
        <w:rPr>
          <w:b w:val="0"/>
          <w:i w:val="0"/>
        </w:rPr>
        <w:t>Cтандарты выполнения биопсии:</w:t>
      </w:r>
    </w:p>
    <w:p>
      <w:pPr>
        <w:spacing w:after="58"/>
      </w:pPr>
      <w:r>
        <w:rPr>
          <w:b w:val="0"/>
          <w:i w:val="0"/>
        </w:rPr>
        <w:t>Планирование места биопсии, по возможности, должно проводиться на междисциплинарном совещании при участии врача-онколога (детского онколога), врача-травматолога-ортопеда, врача-патологоанатома и врача-радиотерапевта или врача-радиолога. Это необходимо для выбора наиболее репрезентативного очага .</w:t>
      </w:r>
    </w:p>
    <w:p>
      <w:pPr>
        <w:spacing w:after="58"/>
      </w:pPr>
      <w:r>
        <w:rPr>
          <w:b w:val="0"/>
          <w:i w:val="0"/>
        </w:rPr>
        <w:t>Биопсия должна выполняться в специализированном онкологическом стационаре, при возможности, в операционной, оснащенной С-дугой (ЭОП), под общей анестезией. Допустимо проведение биопсии в региональном центре – областной больнице (медучреждение 2-го уровня) по согласованию с федеральным центром (локализация доступа, объем материала, вид биопсии), где в дальнейшем будет проводиться этап локального контроля – удаление опухоли.</w:t>
      </w:r>
    </w:p>
    <w:p>
      <w:pPr>
        <w:spacing w:after="58"/>
      </w:pPr>
      <w:r>
        <w:rPr>
          <w:b w:val="0"/>
          <w:i w:val="0"/>
        </w:rPr>
        <w:t>При выполнении биопсии должен учитываться будущий операционный доступ (операция по удалению опухоли), на конечностях разрез должен быть продольный, при постановке дренажной системы типа Редон его точка выхода должна быть на одной линии с разрезом. По возможности, разрез должен быть не более 4-5 см.</w:t>
      </w:r>
    </w:p>
    <w:p>
      <w:pPr>
        <w:spacing w:after="58"/>
      </w:pPr>
      <w:r>
        <w:rPr>
          <w:b w:val="0"/>
          <w:i w:val="0"/>
        </w:rPr>
        <w:t>Техника проведения должна быть максимально аккуратной и щадящей. Необходимо исключить работу инструментом за пределами биопсийного тракта, в целях предотвращения контаминации опухолевыми клетками окружающих тканей. Не допускать повреждения анатомических границ между компартментами.</w:t>
      </w:r>
    </w:p>
    <w:p>
      <w:pPr>
        <w:spacing w:after="58"/>
      </w:pPr>
      <w:r>
        <w:rPr>
          <w:b w:val="0"/>
          <w:i w:val="0"/>
        </w:rPr>
        <w:t>Забор материала лучше делать скальпелем или сосудистыми ножницами, чтобы избежать его повреждения.</w:t>
      </w:r>
    </w:p>
    <w:p>
      <w:pPr>
        <w:spacing w:after="58"/>
      </w:pPr>
      <w:r>
        <w:rPr>
          <w:b w:val="0"/>
          <w:i w:val="0"/>
        </w:rPr>
        <w:t>При необходимости забора костной ткани – выполняется остеотомия в виде овала или прямоугольника с закругленными краями. Форма квадрата, прямоугольника, круг – должны быть исключены. При необходимости увеличения костного окна, в целях сохранения опороспособности кости, окно увеличивается в продольном направлении, ни в коем случае не в поперечном.</w:t>
      </w:r>
    </w:p>
    <w:p>
      <w:pPr>
        <w:spacing w:after="58"/>
      </w:pPr>
      <w:r>
        <w:rPr>
          <w:b w:val="0"/>
          <w:i w:val="0"/>
        </w:rPr>
        <w:t>Количество забранного материала должно быть достаточным для проведения всех видов гистологического исследования (при необходимости в операционную приглашается врач-патологоанатом для визуальной оценки материала), проведения цитогенетического исследования биопсийного (операционного) материала, для его консервации в био-банке, а также для архива и на случай необходимости пересмотра в референс-центрах .</w:t>
      </w:r>
    </w:p>
    <w:p>
      <w:pPr>
        <w:spacing w:after="58"/>
      </w:pPr>
      <w:r>
        <w:rPr>
          <w:b w:val="0"/>
          <w:i w:val="0"/>
        </w:rPr>
        <w:t>При дифференциальном диагнозе с остеомиелитом необходимо дополнительно часть материала отправлять на бактериологическое исследование.</w:t>
      </w:r>
    </w:p>
    <w:p>
      <w:pPr>
        <w:spacing w:after="58"/>
      </w:pPr>
      <w:r>
        <w:rPr>
          <w:b w:val="0"/>
          <w:i w:val="0"/>
        </w:rPr>
        <w:t>Как правило, биопсии проводят без наложения жгута, так как это может помешать проведению адекватного гемостаза. Если жгут все же используется, то его категорически нельзя накладывать на область, пораженную опухолью. Снимать его необходимо до ушивания раны, с целью проведения гемостаза</w:t>
      </w:r>
    </w:p>
    <w:p>
      <w:pPr>
        <w:spacing w:after="58"/>
      </w:pPr>
      <w:hyperlink r:id="rId38">
        <w:r>
          <w:rPr>
            <w:color w:val="173C49"/>
            <w:u w:val="single"/>
          </w:rPr>
          <w:t xml:space="preserve">Клинические рекомендации Минздрава России. Злокачественные новообразования костей и суставных хрящей: остеосаркома, саркома Юинга, 2024 г.</w:t>
        </w:r>
      </w:hyperlink>
    </w:p>
    <w:p>
      <w:pPr>
        <w:spacing w:after="58"/>
      </w:pPr>
      <w:hyperlink r:id="rId49">
        <w:r>
          <w:rPr>
            <w:color w:val="173C49"/>
            <w:u w:val="single"/>
          </w:rPr>
          <w:t xml:space="preserve">(1)</w:t>
        </w:r>
      </w:hyperlink>
    </w:p>
    <w:p>
      <w:pPr>
        <w:pStyle w:val="Heading3"/>
        <w:keepNext/>
      </w:pPr>
      <w:r>
        <w:rPr>
          <w:b/>
          <w:color w:val="173C49"/>
        </w:rPr>
        <w:t>Вопрос 7.</w:t>
      </w:r>
    </w:p>
    <w:p>
      <w:pPr>
        <w:keepNext/>
      </w:pPr>
      <w:r>
        <w:rPr>
          <w:b w:val="0"/>
          <w:i w:val="0"/>
        </w:rPr>
        <w:t>Для формирования полного диагноза необходимо провести</w:t>
      </w:r>
    </w:p>
    <w:p>
      <w:pPr>
        <w:tabs>
          <w:tab w:pos="490" w:val="left"/>
        </w:tabs>
        <w:spacing w:after="60"/>
        <w:ind w:left="490" w:hanging="490"/>
      </w:pPr>
      <w:r>
        <w:rPr>
          <w:b/>
        </w:rPr>
        <w:t>1.</w:t>
      </w:r>
      <w:r>
        <w:tab/>
      </w:r>
      <w:r>
        <w:rPr>
          <w:b w:val="0"/>
          <w:i w:val="0"/>
        </w:rPr>
        <w:t>ПЦР ДНК циркулирующих опухолевых клеток опухоли в крови</w:t>
      </w:r>
    </w:p>
    <w:p>
      <w:pPr>
        <w:tabs>
          <w:tab w:pos="490" w:val="left"/>
        </w:tabs>
        <w:spacing w:after="60"/>
        <w:ind w:left="490" w:hanging="490"/>
      </w:pPr>
      <w:r>
        <w:rPr>
          <w:b/>
        </w:rPr>
        <w:t>2.</w:t>
      </w:r>
      <w:r>
        <w:tab/>
      </w:r>
      <w:r>
        <w:rPr>
          <w:b w:val="0"/>
          <w:i w:val="0"/>
        </w:rPr>
        <w:t>МРТ всего тела</w:t>
      </w:r>
    </w:p>
    <w:p>
      <w:pPr>
        <w:tabs>
          <w:tab w:pos="490" w:val="left"/>
        </w:tabs>
        <w:spacing w:after="60"/>
        <w:ind w:left="490" w:hanging="490"/>
      </w:pPr>
      <w:r>
        <w:rPr>
          <w:b/>
        </w:rPr>
        <w:t>3.</w:t>
      </w:r>
      <w:r>
        <w:tab/>
      </w:r>
      <w:r>
        <w:rPr>
          <w:b w:val="0"/>
          <w:i w:val="0"/>
        </w:rPr>
        <w:t>позитронно-эмиссионную томографию головного мозга с тирозином</w:t>
      </w:r>
    </w:p>
    <w:p>
      <w:pPr>
        <w:tabs>
          <w:tab w:pos="490" w:val="left"/>
        </w:tabs>
        <w:spacing w:after="60"/>
        <w:ind w:left="490" w:hanging="490"/>
      </w:pPr>
      <w:r>
        <w:drawing>
          <wp:inline xmlns:a="http://schemas.openxmlformats.org/drawingml/2006/main" xmlns:pic="http://schemas.openxmlformats.org/drawingml/2006/picture">
            <wp:extent cx="214884" cy="214884"/>
            <wp:docPr id="31" name="Picture 31"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1"/>
                    <a:stretch>
                      <a:fillRect/>
                    </a:stretch>
                  </pic:blipFill>
                  <pic:spPr>
                    <a:xfrm>
                      <a:off x="0" y="0"/>
                      <a:ext cx="214884" cy="214884"/>
                    </a:xfrm>
                    <a:prstGeom prst="rect"/>
                  </pic:spPr>
                </pic:pic>
              </a:graphicData>
            </a:graphic>
          </wp:inline>
        </w:drawing>
      </w:r>
      <w:r>
        <w:tab/>
      </w:r>
      <w:r>
        <w:rPr>
          <w:b w:val="0"/>
          <w:i w:val="0"/>
        </w:rPr>
        <w:t>молекулярно-генетическое исследование опухоли</w:t>
      </w:r>
    </w:p>
    <w:p>
      <w:pPr>
        <w:ind w:left="288"/>
      </w:pPr>
      <w:r>
        <w:rPr>
          <w:b/>
          <w:color w:val="173C49"/>
        </w:rPr>
        <w:t>Правильный ответ:</w:t>
      </w:r>
      <w:r>
        <w:br/>
      </w:r>
      <w:r>
        <w:rPr>
          <w:b/>
          <w:i w:val="0"/>
        </w:rPr>
        <w:t>4 - молекулярно-генетическое исследование опухоли</w:t>
      </w:r>
    </w:p>
    <w:p>
      <w:pPr>
        <w:spacing w:after="58"/>
      </w:pPr>
      <w:r>
        <w:rPr>
          <w:b w:val="0"/>
          <w:i w:val="0"/>
        </w:rPr>
        <w:t>Всем пациентам с подозрением на саркому Юинга или другую недифференцированную мелкокруглоклеточную, высокодифференцированную центральную остесаркому, хондросаркому показано выполнение молекулярно-генетических исследований в зависимости от подозреваемого типа опухоли</w:t>
      </w:r>
    </w:p>
    <w:p>
      <w:pPr>
        <w:spacing w:after="58"/>
      </w:pPr>
      <w:hyperlink r:id="rId38">
        <w:r>
          <w:rPr>
            <w:color w:val="173C49"/>
            <w:u w:val="single"/>
          </w:rPr>
          <w:t xml:space="preserve">Клинические рекомендации Минздрава России. Злокачественные новообразования костей и суставных хрящей: остеосаркома, саркома Юинга, 2024 г.</w:t>
        </w:r>
      </w:hyperlink>
    </w:p>
    <w:p>
      <w:pPr>
        <w:spacing w:after="58"/>
      </w:pPr>
      <w:hyperlink r:id="rId50">
        <w:r>
          <w:rPr>
            <w:color w:val="173C49"/>
            <w:u w:val="single"/>
          </w:rPr>
          <w:t xml:space="preserve">(1)</w:t>
        </w:r>
      </w:hyperlink>
    </w:p>
    <w:p>
      <w:pPr>
        <w:pStyle w:val="Heading2"/>
      </w:pPr>
      <w:r>
        <w:t>4. Диагноз</w:t>
      </w:r>
    </w:p>
    <w:p>
      <w:pPr>
        <w:pStyle w:val="Heading3"/>
        <w:keepNext/>
      </w:pPr>
      <w:r>
        <w:rPr>
          <w:b/>
          <w:color w:val="173C49"/>
        </w:rPr>
        <w:t>Вопрос 8.</w:t>
      </w:r>
    </w:p>
    <w:p>
      <w:pPr>
        <w:keepNext/>
      </w:pPr>
      <w:r>
        <w:rPr>
          <w:b w:val="0"/>
          <w:i w:val="0"/>
        </w:rPr>
        <w:t xml:space="preserve">Учитывая результаты исследования, окончательным диагнозом данного пациента является: Саркома Юинга левой подвздошной кости </w:t>
      </w:r>
      <w:r>
        <w:rPr>
          <w:b w:val="0"/>
          <w:i w:val="0"/>
        </w:rPr>
        <w:t>_____________</w:t>
      </w:r>
      <w:r>
        <w:rPr>
          <w:b w:val="0"/>
          <w:i w:val="0"/>
        </w:rPr>
        <w:t xml:space="preserve"> стадия по классификации AJCC 8-го пересмотра</w:t>
      </w:r>
    </w:p>
    <w:p>
      <w:pPr>
        <w:tabs>
          <w:tab w:pos="490" w:val="left"/>
        </w:tabs>
        <w:spacing w:after="60"/>
        <w:ind w:left="490" w:hanging="490"/>
      </w:pPr>
      <w:r>
        <w:rPr>
          <w:b/>
        </w:rPr>
        <w:t>1.</w:t>
      </w:r>
      <w:r>
        <w:tab/>
      </w:r>
      <w:r>
        <w:rPr>
          <w:b w:val="0"/>
          <w:i w:val="0"/>
        </w:rPr>
        <w:t>Т2N0M0, IIB</w:t>
      </w:r>
    </w:p>
    <w:p>
      <w:pPr>
        <w:tabs>
          <w:tab w:pos="490" w:val="left"/>
        </w:tabs>
        <w:spacing w:after="60"/>
        <w:ind w:left="490" w:hanging="490"/>
      </w:pPr>
      <w:r>
        <w:drawing>
          <wp:inline xmlns:a="http://schemas.openxmlformats.org/drawingml/2006/main" xmlns:pic="http://schemas.openxmlformats.org/drawingml/2006/picture">
            <wp:extent cx="214884" cy="214884"/>
            <wp:docPr id="32" name="Picture 32"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32"/>
                    <a:stretch>
                      <a:fillRect/>
                    </a:stretch>
                  </pic:blipFill>
                  <pic:spPr>
                    <a:xfrm>
                      <a:off x="0" y="0"/>
                      <a:ext cx="214884" cy="214884"/>
                    </a:xfrm>
                    <a:prstGeom prst="rect"/>
                  </pic:spPr>
                </pic:pic>
              </a:graphicData>
            </a:graphic>
          </wp:inline>
        </w:drawing>
      </w:r>
      <w:r>
        <w:tab/>
      </w:r>
      <w:r>
        <w:rPr>
          <w:b w:val="0"/>
          <w:i w:val="0"/>
        </w:rPr>
        <w:t>Т3bN0M0, III</w:t>
      </w:r>
    </w:p>
    <w:p>
      <w:pPr>
        <w:tabs>
          <w:tab w:pos="490" w:val="left"/>
        </w:tabs>
        <w:spacing w:after="60"/>
        <w:ind w:left="490" w:hanging="490"/>
      </w:pPr>
      <w:r>
        <w:rPr>
          <w:b/>
        </w:rPr>
        <w:t>3.</w:t>
      </w:r>
      <w:r>
        <w:tab/>
      </w:r>
      <w:r>
        <w:rPr>
          <w:b w:val="0"/>
          <w:i w:val="0"/>
        </w:rPr>
        <w:t>Т2aN1M0, IVB</w:t>
      </w:r>
    </w:p>
    <w:p>
      <w:pPr>
        <w:tabs>
          <w:tab w:pos="490" w:val="left"/>
        </w:tabs>
        <w:spacing w:after="60"/>
        <w:ind w:left="490" w:hanging="490"/>
      </w:pPr>
      <w:r>
        <w:rPr>
          <w:b/>
        </w:rPr>
        <w:t>4.</w:t>
      </w:r>
      <w:r>
        <w:tab/>
      </w:r>
      <w:r>
        <w:rPr>
          <w:b w:val="0"/>
          <w:i w:val="0"/>
        </w:rPr>
        <w:t>Т1N0M0, IB</w:t>
      </w:r>
    </w:p>
    <w:p>
      <w:pPr>
        <w:ind w:left="288"/>
      </w:pPr>
      <w:r>
        <w:rPr>
          <w:b/>
          <w:color w:val="173C49"/>
        </w:rPr>
        <w:t>Правильный ответ:</w:t>
      </w:r>
      <w:r>
        <w:br/>
      </w:r>
      <w:r>
        <w:rPr>
          <w:b/>
          <w:i w:val="0"/>
        </w:rPr>
        <w:t>2 - Т3bN0M0, III</w:t>
      </w:r>
    </w:p>
    <w:p>
      <w:pPr>
        <w:spacing w:after="58"/>
      </w:pPr>
      <w:r>
        <w:rPr>
          <w:b w:val="0"/>
          <w:i w:val="0"/>
        </w:rPr>
        <w:t>Стадирование первичных злокачественных опухолей костей осуществляется в соответствии с классификацией AJCC 8-го пересмотра, основанной на гистологическом типе опухоли и степени ее дифференцировки (G), размера и локализации первичного очага (T), наличия или отсутствия поражения регионарных лимфатических узлов (N) или отдаленного метастазирования (M)</w:t>
      </w:r>
    </w:p>
    <w:p>
      <w:pPr>
        <w:spacing w:after="58"/>
      </w:pPr>
      <w:r>
        <w:rPr>
          <w:b w:val="0"/>
          <w:i w:val="0"/>
        </w:rPr>
        <w:t>T3: Образование вовлекает 2 сегмента таза с наличием ЭОК</w:t>
      </w:r>
    </w:p>
    <w:p>
      <w:pPr>
        <w:spacing w:after="58"/>
      </w:pPr>
      <w:r>
        <w:rPr>
          <w:b w:val="0"/>
          <w:i w:val="0"/>
        </w:rPr>
        <w:t>T3a: Опухоль ≤8 см в наибольшем измерении</w:t>
      </w:r>
    </w:p>
    <w:p>
      <w:pPr>
        <w:spacing w:after="58"/>
      </w:pPr>
      <w:r>
        <w:rPr>
          <w:b w:val="0"/>
          <w:i w:val="0"/>
        </w:rPr>
        <w:t>T3b: Опухоль ≥8 см в наибольшем измерении</w:t>
      </w:r>
    </w:p>
    <w:p>
      <w:pPr>
        <w:spacing w:after="58"/>
      </w:pPr>
      <w:r>
        <w:rPr>
          <w:b w:val="0"/>
          <w:i w:val="0"/>
        </w:rPr>
        <w:t>N0: Нет признаков метастатического поражения регионарных лимфатических узлов</w:t>
      </w:r>
    </w:p>
    <w:p>
      <w:pPr>
        <w:spacing w:after="58"/>
      </w:pPr>
      <w:r>
        <w:rPr>
          <w:b w:val="0"/>
          <w:i w:val="0"/>
        </w:rPr>
        <w:t>M0: Нет признаков отдаленного метастазирования</w:t>
      </w:r>
    </w:p>
    <w:p>
      <w:pPr>
        <w:spacing w:after="58"/>
      </w:pPr>
      <w:hyperlink r:id="rId38">
        <w:r>
          <w:rPr>
            <w:color w:val="173C49"/>
            <w:u w:val="single"/>
          </w:rPr>
          <w:t xml:space="preserve">Клинические рекомендации Минздрава России. Злокачественные новообразования костей и суставных хрящей: остеосаркома, саркома Юинга, 2024 г.</w:t>
        </w:r>
      </w:hyperlink>
    </w:p>
    <w:p>
      <w:pPr>
        <w:spacing w:after="58"/>
      </w:pPr>
      <w:hyperlink r:id="rId51">
        <w:r>
          <w:rPr>
            <w:color w:val="173C49"/>
            <w:u w:val="single"/>
          </w:rPr>
          <w:t xml:space="preserve">(1)</w:t>
        </w:r>
      </w:hyperlink>
    </w:p>
    <w:p>
      <w:pPr>
        <w:pStyle w:val="Heading2"/>
      </w:pPr>
      <w:r>
        <w:t>5. Лечение</w:t>
      </w:r>
    </w:p>
    <w:p>
      <w:pPr>
        <w:pStyle w:val="Heading3"/>
        <w:keepNext/>
      </w:pPr>
      <w:r>
        <w:rPr>
          <w:b/>
          <w:color w:val="173C49"/>
        </w:rPr>
        <w:t>Вопрос 9.</w:t>
      </w:r>
    </w:p>
    <w:p>
      <w:pPr>
        <w:keepNext/>
      </w:pPr>
      <w:r>
        <w:rPr>
          <w:b w:val="0"/>
          <w:i w:val="0"/>
        </w:rPr>
        <w:t>Следующим после биопсии этапом ведения пациента является</w:t>
      </w:r>
    </w:p>
    <w:p>
      <w:pPr>
        <w:tabs>
          <w:tab w:pos="490" w:val="left"/>
        </w:tabs>
        <w:spacing w:after="60"/>
        <w:ind w:left="490" w:hanging="490"/>
      </w:pPr>
      <w:r>
        <w:rPr>
          <w:b/>
        </w:rPr>
        <w:t>1.</w:t>
      </w:r>
      <w:r>
        <w:tab/>
      </w:r>
      <w:r>
        <w:rPr>
          <w:b w:val="0"/>
          <w:i w:val="0"/>
        </w:rPr>
        <w:t>лучевая терапия в самостоятельном режиме</w:t>
      </w:r>
    </w:p>
    <w:p>
      <w:pPr>
        <w:tabs>
          <w:tab w:pos="490" w:val="left"/>
        </w:tabs>
        <w:spacing w:after="60"/>
        <w:ind w:left="490" w:hanging="490"/>
      </w:pPr>
      <w:r>
        <w:rPr>
          <w:b/>
        </w:rPr>
        <w:t>2.</w:t>
      </w:r>
      <w:r>
        <w:tab/>
      </w:r>
      <w:r>
        <w:rPr>
          <w:b w:val="0"/>
          <w:i w:val="0"/>
        </w:rPr>
        <w:t>хирургическое лечение</w:t>
      </w:r>
    </w:p>
    <w:p>
      <w:pPr>
        <w:tabs>
          <w:tab w:pos="490" w:val="left"/>
        </w:tabs>
        <w:spacing w:after="60"/>
        <w:ind w:left="490" w:hanging="490"/>
      </w:pPr>
      <w:r>
        <w:drawing>
          <wp:inline xmlns:a="http://schemas.openxmlformats.org/drawingml/2006/main" xmlns:pic="http://schemas.openxmlformats.org/drawingml/2006/picture">
            <wp:extent cx="214884" cy="214884"/>
            <wp:docPr id="33" name="Picture 33"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0"/>
                    <a:stretch>
                      <a:fillRect/>
                    </a:stretch>
                  </pic:blipFill>
                  <pic:spPr>
                    <a:xfrm>
                      <a:off x="0" y="0"/>
                      <a:ext cx="214884" cy="214884"/>
                    </a:xfrm>
                    <a:prstGeom prst="rect"/>
                  </pic:spPr>
                </pic:pic>
              </a:graphicData>
            </a:graphic>
          </wp:inline>
        </w:drawing>
      </w:r>
      <w:r>
        <w:tab/>
      </w:r>
      <w:r>
        <w:rPr>
          <w:b w:val="0"/>
          <w:i w:val="0"/>
        </w:rPr>
        <w:t>предоперационная полихимиотерапия</w:t>
      </w:r>
    </w:p>
    <w:p>
      <w:pPr>
        <w:tabs>
          <w:tab w:pos="490" w:val="left"/>
        </w:tabs>
        <w:spacing w:after="60"/>
        <w:ind w:left="490" w:hanging="490"/>
      </w:pPr>
      <w:r>
        <w:rPr>
          <w:b/>
        </w:rPr>
        <w:t>4.</w:t>
      </w:r>
      <w:r>
        <w:tab/>
      </w:r>
      <w:r>
        <w:rPr>
          <w:b w:val="0"/>
          <w:i w:val="0"/>
        </w:rPr>
        <w:t>предоперационная лучевая терапия</w:t>
      </w:r>
    </w:p>
    <w:p>
      <w:pPr>
        <w:ind w:left="288"/>
      </w:pPr>
      <w:r>
        <w:rPr>
          <w:b/>
          <w:color w:val="173C49"/>
        </w:rPr>
        <w:t>Правильный ответ:</w:t>
      </w:r>
      <w:r>
        <w:br/>
      </w:r>
      <w:r>
        <w:rPr>
          <w:b/>
          <w:i w:val="0"/>
        </w:rPr>
        <w:t>3 - предоперационная полихимиотерапия</w:t>
      </w:r>
    </w:p>
    <w:p>
      <w:pPr>
        <w:spacing w:after="58"/>
      </w:pPr>
      <w:r>
        <w:rPr>
          <w:b w:val="0"/>
          <w:i w:val="0"/>
        </w:rPr>
        <w:t>Всем пациентам с cаркомой Юинга и другими недифференцированными мелкокруглоклеточными саркомами костей рекомендовано комбинированное лечение, которое включает в себя неоадъювантную (предоперационную) полихимиотерапию, оперативное вмешательство и адъювантную (послеоперационную) ПХТ, а также лучевую терапию.</w:t>
      </w:r>
    </w:p>
    <w:p>
      <w:pPr>
        <w:spacing w:after="58"/>
      </w:pPr>
      <w:r>
        <w:rPr>
          <w:b w:val="0"/>
          <w:i w:val="0"/>
        </w:rPr>
        <w:t>Комплексное лечение, включающее в себя многокомпонентную ХТ, оперативное вмешательство и лучевую терапию позволило увеличить показатель общей 5-летней выживаемости до 70%.</w:t>
      </w:r>
    </w:p>
    <w:p>
      <w:pPr>
        <w:spacing w:after="58"/>
      </w:pPr>
      <w:hyperlink r:id="rId38">
        <w:r>
          <w:rPr>
            <w:color w:val="173C49"/>
            <w:u w:val="single"/>
          </w:rPr>
          <w:t xml:space="preserve">Клинические рекомендации Минздрава России. Злокачественные новообразования костей и суставных хрящей: остеосаркома, саркома Юинга, 2024 г.</w:t>
        </w:r>
      </w:hyperlink>
    </w:p>
    <w:p>
      <w:pPr>
        <w:spacing w:after="58"/>
      </w:pPr>
      <w:hyperlink r:id="rId47">
        <w:r>
          <w:rPr>
            <w:color w:val="173C49"/>
            <w:u w:val="single"/>
          </w:rPr>
          <w:t xml:space="preserve">(1)</w:t>
        </w:r>
      </w:hyperlink>
    </w:p>
    <w:p>
      <w:pPr>
        <w:pStyle w:val="Heading2"/>
      </w:pPr>
      <w:r>
        <w:t>6. Вариатив</w:t>
      </w:r>
    </w:p>
    <w:p>
      <w:pPr>
        <w:pStyle w:val="Heading3"/>
        <w:keepNext/>
      </w:pPr>
      <w:r>
        <w:rPr>
          <w:b/>
          <w:color w:val="173C49"/>
        </w:rPr>
        <w:t>Вопрос 10.</w:t>
      </w:r>
    </w:p>
    <w:p>
      <w:pPr>
        <w:keepNext/>
      </w:pPr>
      <w:r>
        <w:rPr>
          <w:b w:val="0"/>
          <w:i w:val="0"/>
        </w:rPr>
        <w:t>Наиболее активными в отношении саркомы Юинга являются препараты винкристин, доксорубицин, циклофосфамид, ифосфамид и</w:t>
      </w:r>
    </w:p>
    <w:p>
      <w:pPr>
        <w:tabs>
          <w:tab w:pos="490" w:val="left"/>
        </w:tabs>
        <w:spacing w:after="60"/>
        <w:ind w:left="490" w:hanging="490"/>
      </w:pPr>
      <w:r>
        <w:rPr>
          <w:b/>
        </w:rPr>
        <w:t>1.</w:t>
      </w:r>
      <w:r>
        <w:tab/>
      </w:r>
      <w:r>
        <w:rPr>
          <w:b w:val="0"/>
          <w:i w:val="0"/>
        </w:rPr>
        <w:t>оксалиплатин</w:t>
      </w:r>
    </w:p>
    <w:p>
      <w:pPr>
        <w:tabs>
          <w:tab w:pos="490" w:val="left"/>
        </w:tabs>
        <w:spacing w:after="60"/>
        <w:ind w:left="490" w:hanging="490"/>
      </w:pPr>
      <w:r>
        <w:drawing>
          <wp:inline xmlns:a="http://schemas.openxmlformats.org/drawingml/2006/main" xmlns:pic="http://schemas.openxmlformats.org/drawingml/2006/picture">
            <wp:extent cx="214884" cy="214884"/>
            <wp:docPr id="34" name="Picture 3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32"/>
                    <a:stretch>
                      <a:fillRect/>
                    </a:stretch>
                  </pic:blipFill>
                  <pic:spPr>
                    <a:xfrm>
                      <a:off x="0" y="0"/>
                      <a:ext cx="214884" cy="214884"/>
                    </a:xfrm>
                    <a:prstGeom prst="rect"/>
                  </pic:spPr>
                </pic:pic>
              </a:graphicData>
            </a:graphic>
          </wp:inline>
        </w:drawing>
      </w:r>
      <w:r>
        <w:tab/>
      </w:r>
      <w:r>
        <w:rPr>
          <w:b w:val="0"/>
          <w:i w:val="0"/>
        </w:rPr>
        <w:t>этопозид</w:t>
      </w:r>
    </w:p>
    <w:p>
      <w:pPr>
        <w:tabs>
          <w:tab w:pos="490" w:val="left"/>
        </w:tabs>
        <w:spacing w:after="60"/>
        <w:ind w:left="490" w:hanging="490"/>
      </w:pPr>
      <w:r>
        <w:rPr>
          <w:b/>
        </w:rPr>
        <w:t>3.</w:t>
      </w:r>
      <w:r>
        <w:tab/>
      </w:r>
      <w:r>
        <w:rPr>
          <w:b w:val="0"/>
          <w:i w:val="0"/>
        </w:rPr>
        <w:t>винорельбин</w:t>
      </w:r>
    </w:p>
    <w:p>
      <w:pPr>
        <w:tabs>
          <w:tab w:pos="490" w:val="left"/>
        </w:tabs>
        <w:spacing w:after="60"/>
        <w:ind w:left="490" w:hanging="490"/>
      </w:pPr>
      <w:r>
        <w:rPr>
          <w:b/>
        </w:rPr>
        <w:t>4.</w:t>
      </w:r>
      <w:r>
        <w:tab/>
      </w:r>
      <w:r>
        <w:rPr>
          <w:b w:val="0"/>
          <w:i w:val="0"/>
        </w:rPr>
        <w:t>темозоломид</w:t>
      </w:r>
    </w:p>
    <w:p>
      <w:pPr>
        <w:ind w:left="288"/>
      </w:pPr>
      <w:r>
        <w:rPr>
          <w:b/>
          <w:color w:val="173C49"/>
        </w:rPr>
        <w:t>Правильный ответ:</w:t>
      </w:r>
      <w:r>
        <w:br/>
      </w:r>
      <w:r>
        <w:rPr>
          <w:b/>
          <w:i w:val="0"/>
        </w:rPr>
        <w:t>2 - этопозид</w:t>
      </w:r>
    </w:p>
    <w:p>
      <w:pPr>
        <w:spacing w:after="58"/>
      </w:pPr>
      <w:r>
        <w:rPr>
          <w:b w:val="0"/>
          <w:i w:val="0"/>
        </w:rPr>
        <w:t>Комплексное лечение, включающее в себя многокомпонентную ХТ, оперативное вмешательство и лучевую терапию позволило увеличить показатель общей 5-летней выживаемости до 70%. Наиболее активными в отношении саркомы Юинга являются препараты винкристин, доксорубицин, циклофосфамид, ифосфамид, этопозид.</w:t>
      </w:r>
    </w:p>
    <w:p>
      <w:pPr>
        <w:spacing w:after="58"/>
      </w:pPr>
      <w:r>
        <w:rPr>
          <w:b w:val="0"/>
          <w:i w:val="0"/>
        </w:rPr>
        <w:t>Интенсивный режим ПХТ с интервалом в 14 дней (альтернирующие курсы VDC/IE) на сегодняшний день является предпочтительным, т.к. по результатам рандомизированных исследований позволил достичь у пациентов с локализованной формой СЮ показателя 5-летней БСВ 73% в сравнении со стандартным режимом в 21 день (65%).</w:t>
      </w:r>
    </w:p>
    <w:p>
      <w:pPr>
        <w:spacing w:after="58"/>
      </w:pPr>
      <w:hyperlink r:id="rId38">
        <w:r>
          <w:rPr>
            <w:color w:val="173C49"/>
            <w:u w:val="single"/>
          </w:rPr>
          <w:t xml:space="preserve">Клинические рекомендации Минздрава России. Злокачественные новообразования костей и суставных хрящей: остеосаркома, саркома Юинга, 2024 г.</w:t>
        </w:r>
      </w:hyperlink>
    </w:p>
    <w:p>
      <w:pPr>
        <w:spacing w:after="58"/>
      </w:pPr>
      <w:hyperlink r:id="rId52">
        <w:r>
          <w:rPr>
            <w:color w:val="173C49"/>
            <w:u w:val="single"/>
          </w:rPr>
          <w:t xml:space="preserve">(1)</w:t>
        </w:r>
      </w:hyperlink>
    </w:p>
    <w:p>
      <w:pPr>
        <w:pStyle w:val="Heading3"/>
        <w:keepNext/>
      </w:pPr>
      <w:r>
        <w:rPr>
          <w:b/>
          <w:color w:val="173C49"/>
        </w:rPr>
        <w:t>Вопрос 11.</w:t>
      </w:r>
    </w:p>
    <w:p>
      <w:pPr>
        <w:keepNext/>
      </w:pPr>
      <w:r>
        <w:rPr>
          <w:b w:val="0"/>
          <w:i w:val="0"/>
        </w:rPr>
        <w:t>В первые два года диспансерного наблюдения данной пациентке показана компьютерная томография грудной клетки с частотой</w:t>
      </w:r>
    </w:p>
    <w:p>
      <w:pPr>
        <w:tabs>
          <w:tab w:pos="490" w:val="left"/>
        </w:tabs>
        <w:spacing w:after="60"/>
        <w:ind w:left="490" w:hanging="490"/>
      </w:pPr>
      <w:r>
        <w:drawing>
          <wp:inline xmlns:a="http://schemas.openxmlformats.org/drawingml/2006/main" xmlns:pic="http://schemas.openxmlformats.org/drawingml/2006/picture">
            <wp:extent cx="214884" cy="214884"/>
            <wp:docPr id="35" name="Picture 35"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1 раз в 3 месяца</w:t>
      </w:r>
    </w:p>
    <w:p>
      <w:pPr>
        <w:tabs>
          <w:tab w:pos="490" w:val="left"/>
        </w:tabs>
        <w:spacing w:after="60"/>
        <w:ind w:left="490" w:hanging="490"/>
      </w:pPr>
      <w:r>
        <w:rPr>
          <w:b/>
        </w:rPr>
        <w:t>2.</w:t>
      </w:r>
      <w:r>
        <w:tab/>
      </w:r>
      <w:r>
        <w:rPr>
          <w:b w:val="0"/>
          <w:i w:val="0"/>
        </w:rPr>
        <w:t>каждые 3 недели</w:t>
      </w:r>
    </w:p>
    <w:p>
      <w:pPr>
        <w:tabs>
          <w:tab w:pos="490" w:val="left"/>
        </w:tabs>
        <w:spacing w:after="60"/>
        <w:ind w:left="490" w:hanging="490"/>
      </w:pPr>
      <w:r>
        <w:rPr>
          <w:b/>
        </w:rPr>
        <w:t>3.</w:t>
      </w:r>
      <w:r>
        <w:tab/>
      </w:r>
      <w:r>
        <w:rPr>
          <w:b w:val="0"/>
          <w:i w:val="0"/>
        </w:rPr>
        <w:t>1 раз в 1 месяц</w:t>
      </w:r>
    </w:p>
    <w:p>
      <w:pPr>
        <w:tabs>
          <w:tab w:pos="490" w:val="left"/>
        </w:tabs>
        <w:spacing w:after="60"/>
        <w:ind w:left="490" w:hanging="490"/>
      </w:pPr>
      <w:r>
        <w:rPr>
          <w:b/>
        </w:rPr>
        <w:t>4.</w:t>
      </w:r>
      <w:r>
        <w:tab/>
      </w:r>
      <w:r>
        <w:rPr>
          <w:b w:val="0"/>
          <w:i w:val="0"/>
        </w:rPr>
        <w:t>1 раз в год</w:t>
      </w:r>
    </w:p>
    <w:p>
      <w:pPr>
        <w:ind w:left="288"/>
      </w:pPr>
      <w:r>
        <w:rPr>
          <w:b/>
          <w:color w:val="173C49"/>
        </w:rPr>
        <w:t>Правильный ответ:</w:t>
      </w:r>
      <w:r>
        <w:br/>
      </w:r>
      <w:r>
        <w:rPr>
          <w:b/>
          <w:i w:val="0"/>
        </w:rPr>
        <w:t>1 - 1 раз в 3 месяца</w:t>
      </w:r>
    </w:p>
    <w:p>
      <w:pPr>
        <w:spacing w:after="58"/>
      </w:pPr>
      <w:r>
        <w:rPr>
          <w:b w:val="0"/>
          <w:i w:val="0"/>
        </w:rPr>
        <w:t>КТ органов грудной полости с внутривенным болюсным контрастированием 1 раз в 3 месяца в течение первых двух лет</w:t>
      </w:r>
    </w:p>
    <w:p>
      <w:pPr>
        <w:spacing w:after="58"/>
      </w:pPr>
      <w:hyperlink r:id="rId38">
        <w:r>
          <w:rPr>
            <w:color w:val="173C49"/>
            <w:u w:val="single"/>
          </w:rPr>
          <w:t xml:space="preserve">Клинические рекомендации Минздрава России. Злокачественные новообразования костей и суставных хрящей: остеосаркома, саркома Юинга, 2024 г.</w:t>
        </w:r>
      </w:hyperlink>
    </w:p>
    <w:p>
      <w:pPr>
        <w:spacing w:after="58"/>
      </w:pPr>
      <w:hyperlink r:id="rId53">
        <w:r>
          <w:rPr>
            <w:color w:val="173C49"/>
            <w:u w:val="single"/>
          </w:rPr>
          <w:t xml:space="preserve">(1)</w:t>
        </w:r>
      </w:hyperlink>
    </w:p>
    <w:p>
      <w:pPr>
        <w:pStyle w:val="Heading3"/>
        <w:keepNext/>
      </w:pPr>
      <w:r>
        <w:rPr>
          <w:b/>
          <w:color w:val="173C49"/>
        </w:rPr>
        <w:t>Вопрос 12.</w:t>
      </w:r>
    </w:p>
    <w:p>
      <w:pPr>
        <w:keepNext/>
      </w:pPr>
      <w:r>
        <w:rPr>
          <w:b w:val="0"/>
          <w:i w:val="0"/>
        </w:rPr>
        <w:t xml:space="preserve">Заболеваемость саркомой Юинга составляет </w:t>
      </w:r>
      <w:r>
        <w:rPr>
          <w:b w:val="0"/>
          <w:i w:val="0"/>
        </w:rPr>
        <w:t>______</w:t>
      </w:r>
      <w:r>
        <w:rPr>
          <w:b w:val="0"/>
          <w:i w:val="0"/>
        </w:rPr>
        <w:t xml:space="preserve"> случая на 1 миллион детского населения</w:t>
      </w:r>
    </w:p>
    <w:p>
      <w:pPr>
        <w:tabs>
          <w:tab w:pos="490" w:val="left"/>
        </w:tabs>
        <w:spacing w:after="60"/>
        <w:ind w:left="490" w:hanging="490"/>
      </w:pPr>
      <w:r>
        <w:rPr>
          <w:b/>
        </w:rPr>
        <w:t>1.</w:t>
      </w:r>
      <w:r>
        <w:tab/>
      </w:r>
      <w:r>
        <w:rPr>
          <w:b w:val="0"/>
          <w:i w:val="0"/>
        </w:rPr>
        <w:t>5,7</w:t>
      </w:r>
    </w:p>
    <w:p>
      <w:pPr>
        <w:tabs>
          <w:tab w:pos="490" w:val="left"/>
        </w:tabs>
        <w:spacing w:after="60"/>
        <w:ind w:left="490" w:hanging="490"/>
      </w:pPr>
      <w:r>
        <w:drawing>
          <wp:inline xmlns:a="http://schemas.openxmlformats.org/drawingml/2006/main" xmlns:pic="http://schemas.openxmlformats.org/drawingml/2006/picture">
            <wp:extent cx="214884" cy="214884"/>
            <wp:docPr id="36" name="Picture 3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32"/>
                    <a:stretch>
                      <a:fillRect/>
                    </a:stretch>
                  </pic:blipFill>
                  <pic:spPr>
                    <a:xfrm>
                      <a:off x="0" y="0"/>
                      <a:ext cx="214884" cy="214884"/>
                    </a:xfrm>
                    <a:prstGeom prst="rect"/>
                  </pic:spPr>
                </pic:pic>
              </a:graphicData>
            </a:graphic>
          </wp:inline>
        </w:drawing>
      </w:r>
      <w:r>
        <w:tab/>
      </w:r>
      <w:r>
        <w:rPr>
          <w:b w:val="0"/>
          <w:i w:val="0"/>
        </w:rPr>
        <w:t>2,9</w:t>
      </w:r>
    </w:p>
    <w:p>
      <w:pPr>
        <w:tabs>
          <w:tab w:pos="490" w:val="left"/>
        </w:tabs>
        <w:spacing w:after="60"/>
        <w:ind w:left="490" w:hanging="490"/>
      </w:pPr>
      <w:r>
        <w:rPr>
          <w:b/>
        </w:rPr>
        <w:t>3.</w:t>
      </w:r>
      <w:r>
        <w:tab/>
      </w:r>
      <w:r>
        <w:rPr>
          <w:b w:val="0"/>
          <w:i w:val="0"/>
        </w:rPr>
        <w:t>9,2</w:t>
      </w:r>
    </w:p>
    <w:p>
      <w:pPr>
        <w:tabs>
          <w:tab w:pos="490" w:val="left"/>
        </w:tabs>
        <w:spacing w:after="60"/>
        <w:ind w:left="490" w:hanging="490"/>
      </w:pPr>
      <w:r>
        <w:rPr>
          <w:b/>
        </w:rPr>
        <w:t>4.</w:t>
      </w:r>
      <w:r>
        <w:tab/>
      </w:r>
      <w:r>
        <w:rPr>
          <w:b w:val="0"/>
          <w:i w:val="0"/>
        </w:rPr>
        <w:t>4,3</w:t>
      </w:r>
    </w:p>
    <w:p>
      <w:pPr>
        <w:ind w:left="288"/>
      </w:pPr>
      <w:r>
        <w:rPr>
          <w:b/>
          <w:color w:val="173C49"/>
        </w:rPr>
        <w:t>Правильный ответ:</w:t>
      </w:r>
      <w:r>
        <w:br/>
      </w:r>
      <w:r>
        <w:rPr>
          <w:b/>
          <w:i w:val="0"/>
        </w:rPr>
        <w:t>2 - 2,9</w:t>
      </w:r>
    </w:p>
    <w:p>
      <w:pPr>
        <w:spacing w:after="58"/>
      </w:pPr>
      <w:r>
        <w:rPr>
          <w:b w:val="0"/>
          <w:i w:val="0"/>
        </w:rPr>
        <w:t>Заболеваемость саркомой Юинга составляет 2,9 случая на 1 миллион детского населения</w:t>
      </w:r>
    </w:p>
    <w:p>
      <w:pPr>
        <w:spacing w:after="58"/>
      </w:pPr>
      <w:hyperlink r:id="rId38">
        <w:r>
          <w:rPr>
            <w:color w:val="173C49"/>
            <w:u w:val="single"/>
          </w:rPr>
          <w:t xml:space="preserve">Клинические рекомендации Минздрава России. Злокачественные новообразования костей и суставных хрящей: остеосаркома, саркома Юинга, 2024 г.</w:t>
        </w:r>
      </w:hyperlink>
    </w:p>
    <w:p>
      <w:pPr>
        <w:spacing w:after="58"/>
      </w:pPr>
      <w:hyperlink r:id="rId54">
        <w:r>
          <w:rPr>
            <w:color w:val="173C49"/>
            <w:u w:val="single"/>
          </w:rPr>
          <w:t xml:space="preserve">(1)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Детская онкология-гематология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image" Target="media/image5.png"/><Relationship Id="rId21" Type="http://schemas.openxmlformats.org/officeDocument/2006/relationships/image" Target="media/image6.png"/><Relationship Id="rId22" Type="http://schemas.openxmlformats.org/officeDocument/2006/relationships/hyperlink" Target="https://library.mededtech.ru/rest/documents/KP529_2/" TargetMode="External"/><Relationship Id="rId23" Type="http://schemas.openxmlformats.org/officeDocument/2006/relationships/hyperlink" Target="https://library.mededtech.ru/rest/documents/KP529_2/#list_item_roiak2" TargetMode="External"/><Relationship Id="rId24" Type="http://schemas.openxmlformats.org/officeDocument/2006/relationships/hyperlink" Target="https://library.mededtech.ru/rest/documents/KP529_2/#list_item_840ba3" TargetMode="External"/><Relationship Id="rId25" Type="http://schemas.openxmlformats.org/officeDocument/2006/relationships/hyperlink" Target="https://library.mededtech.ru/rest/documents/KP529_2/#list_item_5k1opo" TargetMode="External"/><Relationship Id="rId26" Type="http://schemas.openxmlformats.org/officeDocument/2006/relationships/hyperlink" Target="https://library.mededtech.ru/rest/documents/ISBN9785970427873/?anchor=paragraph_ub6qtu#paragraph_ub6qtu" TargetMode="External"/><Relationship Id="rId27" Type="http://schemas.openxmlformats.org/officeDocument/2006/relationships/hyperlink" Target="https://library.mededtech.ru/rest/documents/KP529_2/#paragraph_q265a0" TargetMode="External"/><Relationship Id="rId28" Type="http://schemas.openxmlformats.org/officeDocument/2006/relationships/image" Target="media/image7.png"/><Relationship Id="rId29" Type="http://schemas.openxmlformats.org/officeDocument/2006/relationships/hyperlink" Target="https://library.mededtech.ru/rest/documents/KP529_2/#list_item_jnk48r" TargetMode="External"/><Relationship Id="rId30" Type="http://schemas.openxmlformats.org/officeDocument/2006/relationships/hyperlink" Target="https://library.mededtech.ru/rest/documents/KP529_2/#list_item_lhcl77" TargetMode="External"/><Relationship Id="rId31" Type="http://schemas.openxmlformats.org/officeDocument/2006/relationships/hyperlink" Target="https://library.mededtech.ru/rest/documents/KP529_2/#tab2" TargetMode="External"/><Relationship Id="rId32" Type="http://schemas.openxmlformats.org/officeDocument/2006/relationships/image" Target="media/image8.png"/><Relationship Id="rId33" Type="http://schemas.openxmlformats.org/officeDocument/2006/relationships/hyperlink" Target="https://library.mededtech.ru/rest/documents/KP529_2/#paragraph_8n5ahh" TargetMode="External"/><Relationship Id="rId34" Type="http://schemas.openxmlformats.org/officeDocument/2006/relationships/hyperlink" Target="https://library.mededtech.ru/rest/documents/KP529_2/#paragraph_2c55k6" TargetMode="External"/><Relationship Id="rId35" Type="http://schemas.openxmlformats.org/officeDocument/2006/relationships/hyperlink" Target="https://library.mededtech.ru/rest/documents/KP529_2/#paragraph_6c6d1b" TargetMode="External"/><Relationship Id="rId36" Type="http://schemas.openxmlformats.org/officeDocument/2006/relationships/hyperlink" Target="https://library.mededtech.ru/rest/documents/KP529_2/#paragraph_orfncl" TargetMode="External"/><Relationship Id="rId37" Type="http://schemas.openxmlformats.org/officeDocument/2006/relationships/hyperlink" Target="https://library.mededtech.ru/rest/documents/KP529_2/#paragraph_arho5h" TargetMode="External"/><Relationship Id="rId38" Type="http://schemas.openxmlformats.org/officeDocument/2006/relationships/hyperlink" Target="https://library.mededtech.ru/rest/documents/70_2/" TargetMode="External"/><Relationship Id="rId39" Type="http://schemas.openxmlformats.org/officeDocument/2006/relationships/hyperlink" Target="https://library.mededtech.ru/rest/documents/70_2/#list_item_nf57p9" TargetMode="External"/><Relationship Id="rId40" Type="http://schemas.openxmlformats.org/officeDocument/2006/relationships/hyperlink" Target="https://library.mededtech.ru/rest/documents/70_2/#list_item_l334q9" TargetMode="External"/><Relationship Id="rId41" Type="http://schemas.openxmlformats.org/officeDocument/2006/relationships/hyperlink" Target="https://library.mededtech.ru/rest/documents/70_2/#list_item_03vss8" TargetMode="External"/><Relationship Id="rId42" Type="http://schemas.openxmlformats.org/officeDocument/2006/relationships/hyperlink" Target="https://library.mededtech.ru/rest/documents/70_2/#list_item_cf805a" TargetMode="External"/><Relationship Id="rId43" Type="http://schemas.openxmlformats.org/officeDocument/2006/relationships/hyperlink" Target="https://library.mededtech.ru/rest/documents/70_2/#paragraph_1ae3u7" TargetMode="External"/><Relationship Id="rId44" Type="http://schemas.openxmlformats.org/officeDocument/2006/relationships/hyperlink" Target="https://library.mededtech.ru/rest/documents/70_2/#list_item_c0u1am" TargetMode="External"/><Relationship Id="rId45" Type="http://schemas.openxmlformats.org/officeDocument/2006/relationships/hyperlink" Target="https://library.mededtech.ru/rest/documents/70_2/#paragraph_1ji17r" TargetMode="External"/><Relationship Id="rId46" Type="http://schemas.openxmlformats.org/officeDocument/2006/relationships/hyperlink" Target="https://library.mededtech.ru/rest/documents/70_2/#paragraph_9tatl2" TargetMode="External"/><Relationship Id="rId47" Type="http://schemas.openxmlformats.org/officeDocument/2006/relationships/hyperlink" Target="https://library.mededtech.ru/rest/documents/70_2/#list_item_q84ak4" TargetMode="External"/><Relationship Id="rId48" Type="http://schemas.openxmlformats.org/officeDocument/2006/relationships/hyperlink" Target="https://library.mededtech.ru/rest/documents/70_2/#list_item_bfd6dk" TargetMode="External"/><Relationship Id="rId49" Type="http://schemas.openxmlformats.org/officeDocument/2006/relationships/hyperlink" Target="https://library.mededtech.ru/rest/documents/70_2/#paragraph_1e72qe" TargetMode="External"/><Relationship Id="rId50" Type="http://schemas.openxmlformats.org/officeDocument/2006/relationships/hyperlink" Target="https://library.mededtech.ru/rest/documents/70_2/#list_item_m3nc0k" TargetMode="External"/><Relationship Id="rId51" Type="http://schemas.openxmlformats.org/officeDocument/2006/relationships/hyperlink" Target="https://library.mededtech.ru/rest/documents/70_2/#paragraph_6t8n0l" TargetMode="External"/><Relationship Id="rId52" Type="http://schemas.openxmlformats.org/officeDocument/2006/relationships/hyperlink" Target="https://library.mededtech.ru/rest/documents/70_2/#paragraph_m5fujd" TargetMode="External"/><Relationship Id="rId53" Type="http://schemas.openxmlformats.org/officeDocument/2006/relationships/hyperlink" Target="https://library.mededtech.ru/rest/documents/70_2/#table9" TargetMode="External"/><Relationship Id="rId54" Type="http://schemas.openxmlformats.org/officeDocument/2006/relationships/hyperlink" Target="https://library.mededtech.ru/rest/documents/70_2/#paragraph_pvbea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